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0EC" w:rsidRPr="00D01E7A" w:rsidRDefault="009140EC" w:rsidP="009140EC">
      <w:pPr>
        <w:jc w:val="center"/>
        <w:rPr>
          <w:b/>
          <w:szCs w:val="24"/>
        </w:rPr>
      </w:pPr>
      <w:r w:rsidRPr="00D01E7A">
        <w:rPr>
          <w:b/>
          <w:szCs w:val="24"/>
        </w:rPr>
        <w:t>Pályázati felhívás</w:t>
      </w:r>
    </w:p>
    <w:p w:rsidR="009140EC" w:rsidRPr="00D01E7A" w:rsidRDefault="009140EC" w:rsidP="009140EC">
      <w:pPr>
        <w:rPr>
          <w:szCs w:val="24"/>
        </w:rPr>
      </w:pPr>
    </w:p>
    <w:p w:rsidR="009140EC" w:rsidRDefault="009140EC" w:rsidP="009140EC">
      <w:pPr>
        <w:jc w:val="both"/>
        <w:rPr>
          <w:szCs w:val="24"/>
        </w:rPr>
      </w:pPr>
      <w:r>
        <w:rPr>
          <w:szCs w:val="24"/>
        </w:rPr>
        <w:t>Köveskál K</w:t>
      </w:r>
      <w:r w:rsidRPr="00D01E7A">
        <w:rPr>
          <w:szCs w:val="24"/>
        </w:rPr>
        <w:t>özség</w:t>
      </w:r>
      <w:r>
        <w:rPr>
          <w:szCs w:val="24"/>
        </w:rPr>
        <w:t xml:space="preserve"> </w:t>
      </w:r>
      <w:r w:rsidRPr="00D01E7A">
        <w:rPr>
          <w:szCs w:val="24"/>
        </w:rPr>
        <w:t>Önkormányzat</w:t>
      </w:r>
      <w:r>
        <w:rPr>
          <w:szCs w:val="24"/>
        </w:rPr>
        <w:t>a</w:t>
      </w:r>
      <w:r w:rsidRPr="00D01E7A">
        <w:rPr>
          <w:szCs w:val="24"/>
        </w:rPr>
        <w:t xml:space="preserve"> Képviselő-testülete </w:t>
      </w:r>
      <w:r>
        <w:rPr>
          <w:szCs w:val="24"/>
        </w:rPr>
        <w:t xml:space="preserve">az Önkormányzat tulajdonát képező </w:t>
      </w:r>
      <w:r w:rsidR="001A355C" w:rsidRPr="001A355C">
        <w:rPr>
          <w:b/>
          <w:szCs w:val="24"/>
        </w:rPr>
        <w:t>Köveskál, 435. hrsz.-ú</w:t>
      </w:r>
      <w:r w:rsidR="001A355C">
        <w:rPr>
          <w:b/>
          <w:szCs w:val="24"/>
        </w:rPr>
        <w:t xml:space="preserve">, </w:t>
      </w:r>
      <w:proofErr w:type="spellStart"/>
      <w:r w:rsidR="001A355C">
        <w:rPr>
          <w:b/>
          <w:szCs w:val="24"/>
        </w:rPr>
        <w:t>Henyei</w:t>
      </w:r>
      <w:proofErr w:type="spellEnd"/>
      <w:r w:rsidR="001A355C">
        <w:rPr>
          <w:b/>
          <w:szCs w:val="24"/>
        </w:rPr>
        <w:t xml:space="preserve"> u. 8. szám alatti</w:t>
      </w:r>
      <w:r w:rsidR="001A355C" w:rsidRPr="001A355C">
        <w:rPr>
          <w:b/>
          <w:szCs w:val="24"/>
        </w:rPr>
        <w:t xml:space="preserve">, kivett lakóház, udvar </w:t>
      </w:r>
      <w:r w:rsidR="001A355C">
        <w:rPr>
          <w:szCs w:val="24"/>
        </w:rPr>
        <w:t xml:space="preserve">művelési ágú ingatlant </w:t>
      </w:r>
      <w:r w:rsidRPr="00D01E7A">
        <w:rPr>
          <w:szCs w:val="24"/>
        </w:rPr>
        <w:t>nyilvános pályázati eljárás</w:t>
      </w:r>
      <w:r w:rsidR="001A355C">
        <w:rPr>
          <w:szCs w:val="24"/>
        </w:rPr>
        <w:t xml:space="preserve"> útján értékesítésre meghirdeti</w:t>
      </w:r>
      <w:r w:rsidRPr="00D01E7A">
        <w:rPr>
          <w:szCs w:val="24"/>
        </w:rPr>
        <w:t>:</w:t>
      </w:r>
    </w:p>
    <w:p w:rsidR="009140EC" w:rsidRDefault="009140EC" w:rsidP="009140EC">
      <w:pPr>
        <w:jc w:val="both"/>
        <w:rPr>
          <w:szCs w:val="24"/>
        </w:rPr>
      </w:pPr>
    </w:p>
    <w:p w:rsidR="009140EC" w:rsidRDefault="009140EC" w:rsidP="009140EC">
      <w:pPr>
        <w:jc w:val="center"/>
        <w:rPr>
          <w:b/>
          <w:szCs w:val="24"/>
        </w:rPr>
      </w:pPr>
      <w:r>
        <w:rPr>
          <w:b/>
          <w:szCs w:val="24"/>
        </w:rPr>
        <w:t>AZ INGATLAN ADATAI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985"/>
        <w:gridCol w:w="1995"/>
        <w:gridCol w:w="18"/>
      </w:tblGrid>
      <w:tr w:rsidR="009140EC" w:rsidTr="00577A23">
        <w:trPr>
          <w:cantSplit/>
        </w:trPr>
        <w:tc>
          <w:tcPr>
            <w:tcW w:w="8959" w:type="dxa"/>
            <w:gridSpan w:val="5"/>
            <w:vAlign w:val="center"/>
          </w:tcPr>
          <w:p w:rsidR="009140EC" w:rsidRDefault="009140EC" w:rsidP="00577A23">
            <w:pPr>
              <w:jc w:val="center"/>
              <w:rPr>
                <w:b/>
                <w:bCs/>
                <w:szCs w:val="24"/>
              </w:rPr>
            </w:pPr>
          </w:p>
          <w:p w:rsidR="009140EC" w:rsidRDefault="009140EC" w:rsidP="00577A23">
            <w:pPr>
              <w:jc w:val="center"/>
              <w:rPr>
                <w:b/>
                <w:bCs/>
                <w:szCs w:val="24"/>
              </w:rPr>
            </w:pPr>
            <w:r>
              <w:rPr>
                <w:b/>
                <w:bCs/>
                <w:szCs w:val="24"/>
              </w:rPr>
              <w:t>Ingatlan nyilvántartási adatok</w:t>
            </w:r>
          </w:p>
          <w:p w:rsidR="009140EC" w:rsidRDefault="009140EC" w:rsidP="00577A23">
            <w:pPr>
              <w:jc w:val="center"/>
              <w:rPr>
                <w:b/>
                <w:bCs/>
                <w:szCs w:val="24"/>
              </w:rPr>
            </w:pPr>
          </w:p>
        </w:tc>
      </w:tr>
      <w:tr w:rsidR="009140EC" w:rsidTr="00577A23">
        <w:trPr>
          <w:cantSplit/>
        </w:trPr>
        <w:tc>
          <w:tcPr>
            <w:tcW w:w="3544" w:type="dxa"/>
            <w:vAlign w:val="center"/>
          </w:tcPr>
          <w:p w:rsidR="009140EC" w:rsidRDefault="009140EC" w:rsidP="00577A23">
            <w:pPr>
              <w:rPr>
                <w:szCs w:val="24"/>
              </w:rPr>
            </w:pPr>
            <w:r>
              <w:rPr>
                <w:szCs w:val="24"/>
              </w:rPr>
              <w:t>Fekvése (belterület/külterület):</w:t>
            </w:r>
          </w:p>
        </w:tc>
        <w:tc>
          <w:tcPr>
            <w:tcW w:w="5415" w:type="dxa"/>
            <w:gridSpan w:val="4"/>
          </w:tcPr>
          <w:p w:rsidR="009140EC" w:rsidRPr="00D8702F" w:rsidRDefault="009140EC" w:rsidP="00577A23">
            <w:pPr>
              <w:rPr>
                <w:szCs w:val="24"/>
              </w:rPr>
            </w:pPr>
            <w:r w:rsidRPr="00D8702F">
              <w:rPr>
                <w:szCs w:val="24"/>
              </w:rPr>
              <w:t>belterület</w:t>
            </w:r>
          </w:p>
        </w:tc>
      </w:tr>
      <w:tr w:rsidR="009140EC" w:rsidTr="00577A23">
        <w:trPr>
          <w:cantSplit/>
        </w:trPr>
        <w:tc>
          <w:tcPr>
            <w:tcW w:w="3544" w:type="dxa"/>
            <w:vAlign w:val="center"/>
          </w:tcPr>
          <w:p w:rsidR="009140EC" w:rsidRDefault="009140EC" w:rsidP="00577A23">
            <w:pPr>
              <w:rPr>
                <w:szCs w:val="24"/>
              </w:rPr>
            </w:pPr>
            <w:r>
              <w:rPr>
                <w:szCs w:val="24"/>
              </w:rPr>
              <w:t>Az ingatlan megnevezése:</w:t>
            </w:r>
          </w:p>
        </w:tc>
        <w:tc>
          <w:tcPr>
            <w:tcW w:w="5415" w:type="dxa"/>
            <w:gridSpan w:val="4"/>
          </w:tcPr>
          <w:p w:rsidR="009140EC" w:rsidRPr="00D8702F" w:rsidRDefault="009140EC" w:rsidP="001A355C">
            <w:pPr>
              <w:rPr>
                <w:szCs w:val="24"/>
              </w:rPr>
            </w:pPr>
            <w:r>
              <w:rPr>
                <w:szCs w:val="24"/>
              </w:rPr>
              <w:t xml:space="preserve">kivett </w:t>
            </w:r>
            <w:r w:rsidR="001A355C">
              <w:rPr>
                <w:szCs w:val="24"/>
              </w:rPr>
              <w:t>lakóház, udvar</w:t>
            </w:r>
          </w:p>
        </w:tc>
      </w:tr>
      <w:tr w:rsidR="009140EC" w:rsidTr="00577A23">
        <w:trPr>
          <w:cantSplit/>
        </w:trPr>
        <w:tc>
          <w:tcPr>
            <w:tcW w:w="3544" w:type="dxa"/>
            <w:vAlign w:val="center"/>
          </w:tcPr>
          <w:p w:rsidR="009140EC" w:rsidRDefault="009140EC" w:rsidP="00577A23">
            <w:pPr>
              <w:rPr>
                <w:szCs w:val="24"/>
              </w:rPr>
            </w:pPr>
            <w:r>
              <w:rPr>
                <w:szCs w:val="24"/>
              </w:rPr>
              <w:t>Telek területe összesen, m</w:t>
            </w:r>
            <w:r w:rsidRPr="00163323">
              <w:rPr>
                <w:szCs w:val="24"/>
                <w:vertAlign w:val="superscript"/>
              </w:rPr>
              <w:t>2</w:t>
            </w:r>
            <w:r>
              <w:rPr>
                <w:szCs w:val="24"/>
              </w:rPr>
              <w:t>:</w:t>
            </w:r>
          </w:p>
        </w:tc>
        <w:tc>
          <w:tcPr>
            <w:tcW w:w="5415" w:type="dxa"/>
            <w:gridSpan w:val="4"/>
          </w:tcPr>
          <w:p w:rsidR="009140EC" w:rsidRPr="00CC4C4C" w:rsidRDefault="001A355C" w:rsidP="00577A23">
            <w:pPr>
              <w:rPr>
                <w:szCs w:val="24"/>
              </w:rPr>
            </w:pPr>
            <w:r>
              <w:rPr>
                <w:szCs w:val="24"/>
              </w:rPr>
              <w:t xml:space="preserve"> 461</w:t>
            </w:r>
            <w:r w:rsidR="009140EC">
              <w:rPr>
                <w:szCs w:val="24"/>
              </w:rPr>
              <w:t xml:space="preserve"> m</w:t>
            </w:r>
            <w:r w:rsidR="009140EC">
              <w:rPr>
                <w:szCs w:val="24"/>
                <w:vertAlign w:val="superscript"/>
              </w:rPr>
              <w:t>2</w:t>
            </w:r>
          </w:p>
        </w:tc>
      </w:tr>
      <w:tr w:rsidR="009140EC" w:rsidTr="00577A23">
        <w:trPr>
          <w:cantSplit/>
        </w:trPr>
        <w:tc>
          <w:tcPr>
            <w:tcW w:w="3544" w:type="dxa"/>
            <w:vAlign w:val="center"/>
          </w:tcPr>
          <w:p w:rsidR="009140EC" w:rsidRDefault="009140EC" w:rsidP="00577A23">
            <w:pPr>
              <w:rPr>
                <w:szCs w:val="24"/>
              </w:rPr>
            </w:pPr>
            <w:r>
              <w:rPr>
                <w:szCs w:val="24"/>
              </w:rPr>
              <w:t>Tulajdonos és tulajdoni hányada:</w:t>
            </w:r>
          </w:p>
        </w:tc>
        <w:tc>
          <w:tcPr>
            <w:tcW w:w="5415" w:type="dxa"/>
            <w:gridSpan w:val="4"/>
          </w:tcPr>
          <w:p w:rsidR="009140EC" w:rsidRPr="00D8702F" w:rsidRDefault="009140EC" w:rsidP="00577A23">
            <w:pPr>
              <w:rPr>
                <w:szCs w:val="24"/>
              </w:rPr>
            </w:pPr>
            <w:r>
              <w:rPr>
                <w:szCs w:val="24"/>
              </w:rPr>
              <w:t>Köveskál Község Önkormányzata, 8274 Köveskál, Fő u. 10.                                                                    1/</w:t>
            </w:r>
            <w:proofErr w:type="spellStart"/>
            <w:r>
              <w:rPr>
                <w:szCs w:val="24"/>
              </w:rPr>
              <w:t>1</w:t>
            </w:r>
            <w:proofErr w:type="spellEnd"/>
          </w:p>
        </w:tc>
      </w:tr>
      <w:tr w:rsidR="009140EC" w:rsidTr="00577A23">
        <w:trPr>
          <w:cantSplit/>
        </w:trPr>
        <w:tc>
          <w:tcPr>
            <w:tcW w:w="3544" w:type="dxa"/>
            <w:vAlign w:val="center"/>
          </w:tcPr>
          <w:p w:rsidR="009140EC" w:rsidRDefault="009140EC" w:rsidP="00577A23">
            <w:pPr>
              <w:rPr>
                <w:szCs w:val="24"/>
              </w:rPr>
            </w:pPr>
            <w:r>
              <w:rPr>
                <w:szCs w:val="24"/>
              </w:rPr>
              <w:t>Bejegyzett szolgalmi jog:</w:t>
            </w:r>
          </w:p>
        </w:tc>
        <w:tc>
          <w:tcPr>
            <w:tcW w:w="5415" w:type="dxa"/>
            <w:gridSpan w:val="4"/>
          </w:tcPr>
          <w:p w:rsidR="009140EC" w:rsidRPr="005B2057" w:rsidRDefault="009140EC" w:rsidP="00577A23">
            <w:pPr>
              <w:rPr>
                <w:szCs w:val="24"/>
              </w:rPr>
            </w:pPr>
            <w:r>
              <w:rPr>
                <w:szCs w:val="24"/>
              </w:rPr>
              <w:t>-</w:t>
            </w:r>
          </w:p>
        </w:tc>
      </w:tr>
      <w:tr w:rsidR="009140EC" w:rsidTr="00577A23">
        <w:trPr>
          <w:cantSplit/>
        </w:trPr>
        <w:tc>
          <w:tcPr>
            <w:tcW w:w="3544" w:type="dxa"/>
            <w:vAlign w:val="center"/>
          </w:tcPr>
          <w:p w:rsidR="009140EC" w:rsidRDefault="009140EC" w:rsidP="00577A23">
            <w:pPr>
              <w:rPr>
                <w:szCs w:val="24"/>
              </w:rPr>
            </w:pPr>
            <w:r>
              <w:rPr>
                <w:szCs w:val="24"/>
              </w:rPr>
              <w:t>Terhek:</w:t>
            </w:r>
          </w:p>
        </w:tc>
        <w:tc>
          <w:tcPr>
            <w:tcW w:w="5415" w:type="dxa"/>
            <w:gridSpan w:val="4"/>
          </w:tcPr>
          <w:p w:rsidR="009140EC" w:rsidRPr="00D8702F" w:rsidRDefault="009140EC" w:rsidP="00577A23">
            <w:pPr>
              <w:rPr>
                <w:szCs w:val="24"/>
              </w:rPr>
            </w:pPr>
            <w:r>
              <w:rPr>
                <w:szCs w:val="24"/>
              </w:rPr>
              <w:t>-</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59" w:type="dxa"/>
            <w:gridSpan w:val="5"/>
            <w:tcBorders>
              <w:top w:val="single" w:sz="4" w:space="0" w:color="auto"/>
              <w:left w:val="single" w:sz="4" w:space="0" w:color="auto"/>
              <w:bottom w:val="single" w:sz="4" w:space="0" w:color="auto"/>
              <w:right w:val="single" w:sz="4" w:space="0" w:color="auto"/>
            </w:tcBorders>
            <w:vAlign w:val="center"/>
          </w:tcPr>
          <w:p w:rsidR="009140EC" w:rsidRDefault="009140EC" w:rsidP="00577A23">
            <w:pPr>
              <w:jc w:val="center"/>
              <w:rPr>
                <w:b/>
                <w:bCs/>
                <w:szCs w:val="24"/>
              </w:rPr>
            </w:pPr>
          </w:p>
          <w:p w:rsidR="009140EC" w:rsidRDefault="009140EC" w:rsidP="00577A23">
            <w:pPr>
              <w:jc w:val="center"/>
              <w:rPr>
                <w:b/>
                <w:bCs/>
                <w:szCs w:val="24"/>
              </w:rPr>
            </w:pPr>
            <w:r>
              <w:rPr>
                <w:b/>
                <w:bCs/>
                <w:szCs w:val="24"/>
              </w:rPr>
              <w:t xml:space="preserve">A Helyi Építési szabályzat előírásai </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Építési övezet:</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380C91" w:rsidP="00380C91">
            <w:pPr>
              <w:rPr>
                <w:szCs w:val="24"/>
              </w:rPr>
            </w:pPr>
            <w:r>
              <w:rPr>
                <w:szCs w:val="24"/>
              </w:rPr>
              <w:t>Vt1</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Beépítés módja:</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9140EC" w:rsidP="00577A23">
            <w:pPr>
              <w:rPr>
                <w:szCs w:val="24"/>
              </w:rPr>
            </w:pPr>
            <w:r>
              <w:rPr>
                <w:szCs w:val="24"/>
              </w:rPr>
              <w:t>oldalhatáron álló</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Egyéb lényeges építéshatósági előírások:</w:t>
            </w:r>
          </w:p>
        </w:tc>
        <w:tc>
          <w:tcPr>
            <w:tcW w:w="3980" w:type="dxa"/>
            <w:gridSpan w:val="2"/>
            <w:tcBorders>
              <w:top w:val="single" w:sz="4" w:space="0" w:color="auto"/>
              <w:left w:val="single" w:sz="4" w:space="0" w:color="auto"/>
              <w:bottom w:val="single" w:sz="4" w:space="0" w:color="auto"/>
              <w:right w:val="single" w:sz="4" w:space="0" w:color="auto"/>
            </w:tcBorders>
          </w:tcPr>
          <w:p w:rsidR="009140EC" w:rsidRPr="005A5AC0" w:rsidRDefault="005A5AC0" w:rsidP="00577A23">
            <w:pPr>
              <w:jc w:val="both"/>
              <w:rPr>
                <w:szCs w:val="24"/>
              </w:rPr>
            </w:pPr>
            <w:r w:rsidRPr="005A5AC0">
              <w:rPr>
                <w:szCs w:val="24"/>
                <w:shd w:val="clear" w:color="auto" w:fill="FFFFFF"/>
              </w:rPr>
              <w:t>A településközpont terület elsősorban lakó és olyan települési szintű egyéb rendeltetésű épület elhelyezésére szolgál, amely nincs zavaró hatással a lakó rendeltetésre.  lakó azzal, hogy telkenként legfeljebb egy főépület 2 lakás, a Vt1 és Vt2 építési övezetben legfeljebb 1 lakás.</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Kialakítható telek legkisebb szélessége:</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9140EC" w:rsidP="00577A23">
            <w:pPr>
              <w:rPr>
                <w:szCs w:val="24"/>
              </w:rPr>
            </w:pP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 xml:space="preserve">A telek - terepszint feletti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9140EC" w:rsidRDefault="005A5AC0" w:rsidP="00577A23">
            <w:pPr>
              <w:jc w:val="center"/>
              <w:rPr>
                <w:szCs w:val="24"/>
              </w:rPr>
            </w:pPr>
            <w:r>
              <w:rPr>
                <w:szCs w:val="24"/>
              </w:rPr>
              <w:t xml:space="preserve"> 40</w:t>
            </w:r>
            <w:r w:rsidR="009140EC">
              <w:rPr>
                <w:szCs w:val="24"/>
              </w:rPr>
              <w:t xml:space="preserve"> %</w:t>
            </w:r>
          </w:p>
        </w:tc>
        <w:tc>
          <w:tcPr>
            <w:tcW w:w="1995" w:type="dxa"/>
            <w:tcBorders>
              <w:top w:val="single" w:sz="4" w:space="0" w:color="auto"/>
              <w:left w:val="single" w:sz="4" w:space="0" w:color="auto"/>
              <w:bottom w:val="single" w:sz="4" w:space="0" w:color="auto"/>
              <w:right w:val="single" w:sz="4" w:space="0" w:color="auto"/>
            </w:tcBorders>
          </w:tcPr>
          <w:p w:rsidR="009140EC" w:rsidRDefault="009140EC" w:rsidP="00577A23">
            <w:pPr>
              <w:jc w:val="center"/>
              <w:rPr>
                <w:szCs w:val="24"/>
                <w:vertAlign w:val="superscript"/>
              </w:rPr>
            </w:pPr>
            <w:r>
              <w:rPr>
                <w:szCs w:val="24"/>
              </w:rPr>
              <w:t xml:space="preserve"> m</w:t>
            </w:r>
            <w:r>
              <w:rPr>
                <w:szCs w:val="24"/>
                <w:vertAlign w:val="superscript"/>
              </w:rPr>
              <w:t>2</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 xml:space="preserve">            - terepszint alatti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9140EC" w:rsidRDefault="009140EC" w:rsidP="00577A23">
            <w:pPr>
              <w:jc w:val="right"/>
              <w:rPr>
                <w:szCs w:val="24"/>
              </w:rPr>
            </w:pPr>
            <w:r>
              <w:rPr>
                <w:szCs w:val="24"/>
              </w:rPr>
              <w:t xml:space="preserve"> %</w:t>
            </w:r>
          </w:p>
        </w:tc>
        <w:tc>
          <w:tcPr>
            <w:tcW w:w="1995" w:type="dxa"/>
            <w:tcBorders>
              <w:top w:val="single" w:sz="4" w:space="0" w:color="auto"/>
              <w:left w:val="single" w:sz="4" w:space="0" w:color="auto"/>
              <w:bottom w:val="single" w:sz="4" w:space="0" w:color="auto"/>
              <w:right w:val="single" w:sz="4" w:space="0" w:color="auto"/>
            </w:tcBorders>
          </w:tcPr>
          <w:p w:rsidR="009140EC" w:rsidRPr="00701C31" w:rsidRDefault="009140EC" w:rsidP="00577A23">
            <w:pPr>
              <w:jc w:val="right"/>
              <w:rPr>
                <w:szCs w:val="24"/>
              </w:rPr>
            </w:pPr>
            <w:r>
              <w:rPr>
                <w:szCs w:val="24"/>
              </w:rPr>
              <w:t xml:space="preserve">        m</w:t>
            </w:r>
            <w:r>
              <w:rPr>
                <w:szCs w:val="24"/>
                <w:vertAlign w:val="superscript"/>
              </w:rPr>
              <w:t>2</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Legnagyobb épületmagasság:</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9140EC" w:rsidP="00577A23">
            <w:pPr>
              <w:rPr>
                <w:szCs w:val="24"/>
              </w:rPr>
            </w:pPr>
            <w:r>
              <w:rPr>
                <w:szCs w:val="24"/>
              </w:rPr>
              <w:t xml:space="preserve"> 4,5 m</w:t>
            </w: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Legnagyobb szintterület-sűrűség:</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9140EC" w:rsidP="00577A23">
            <w:pPr>
              <w:rPr>
                <w:szCs w:val="24"/>
              </w:rPr>
            </w:pP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A megépíthető szintszám a földfelszín felett:</w:t>
            </w:r>
          </w:p>
        </w:tc>
        <w:tc>
          <w:tcPr>
            <w:tcW w:w="3980" w:type="dxa"/>
            <w:gridSpan w:val="2"/>
            <w:tcBorders>
              <w:top w:val="single" w:sz="4" w:space="0" w:color="auto"/>
              <w:left w:val="single" w:sz="4" w:space="0" w:color="auto"/>
              <w:bottom w:val="single" w:sz="4" w:space="0" w:color="auto"/>
              <w:right w:val="single" w:sz="4" w:space="0" w:color="auto"/>
            </w:tcBorders>
          </w:tcPr>
          <w:p w:rsidR="009140EC" w:rsidRDefault="009140EC" w:rsidP="00577A23">
            <w:pPr>
              <w:rPr>
                <w:szCs w:val="24"/>
              </w:rPr>
            </w:pPr>
          </w:p>
        </w:tc>
      </w:tr>
      <w:tr w:rsidR="009140EC" w:rsidTr="00577A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9140EC" w:rsidRDefault="009140EC" w:rsidP="00577A23">
            <w:pPr>
              <w:rPr>
                <w:szCs w:val="24"/>
              </w:rPr>
            </w:pPr>
            <w:r>
              <w:rPr>
                <w:szCs w:val="24"/>
              </w:rPr>
              <w:t>Minimális teleknagyság:</w:t>
            </w:r>
          </w:p>
        </w:tc>
        <w:tc>
          <w:tcPr>
            <w:tcW w:w="3980" w:type="dxa"/>
            <w:gridSpan w:val="2"/>
            <w:tcBorders>
              <w:top w:val="single" w:sz="4" w:space="0" w:color="auto"/>
              <w:left w:val="single" w:sz="4" w:space="0" w:color="auto"/>
              <w:bottom w:val="single" w:sz="4" w:space="0" w:color="auto"/>
              <w:right w:val="single" w:sz="4" w:space="0" w:color="auto"/>
            </w:tcBorders>
          </w:tcPr>
          <w:p w:rsidR="009140EC" w:rsidRPr="005264BA" w:rsidRDefault="005A5AC0" w:rsidP="00577A23">
            <w:pPr>
              <w:rPr>
                <w:szCs w:val="24"/>
              </w:rPr>
            </w:pPr>
            <w:r>
              <w:rPr>
                <w:szCs w:val="24"/>
              </w:rPr>
              <w:t xml:space="preserve"> 400</w:t>
            </w:r>
            <w:r w:rsidR="009140EC">
              <w:rPr>
                <w:szCs w:val="24"/>
              </w:rPr>
              <w:t xml:space="preserve"> m</w:t>
            </w:r>
            <w:r w:rsidR="009140EC">
              <w:rPr>
                <w:szCs w:val="24"/>
                <w:vertAlign w:val="superscript"/>
              </w:rPr>
              <w:t>2</w:t>
            </w:r>
          </w:p>
        </w:tc>
      </w:tr>
    </w:tbl>
    <w:p w:rsidR="009140EC" w:rsidRDefault="009140EC" w:rsidP="009140EC">
      <w:pPr>
        <w:autoSpaceDE w:val="0"/>
        <w:autoSpaceDN w:val="0"/>
        <w:adjustRightInd w:val="0"/>
        <w:jc w:val="both"/>
        <w:rPr>
          <w:szCs w:val="24"/>
        </w:rPr>
      </w:pPr>
    </w:p>
    <w:p w:rsidR="009140EC" w:rsidRDefault="009140EC" w:rsidP="009140EC">
      <w:pPr>
        <w:autoSpaceDE w:val="0"/>
        <w:autoSpaceDN w:val="0"/>
        <w:adjustRightInd w:val="0"/>
        <w:jc w:val="both"/>
        <w:rPr>
          <w:szCs w:val="24"/>
        </w:rPr>
      </w:pPr>
      <w:proofErr w:type="spellStart"/>
      <w:r>
        <w:rPr>
          <w:szCs w:val="24"/>
        </w:rPr>
        <w:t>Közművesítettség</w:t>
      </w:r>
      <w:proofErr w:type="spellEnd"/>
      <w:r w:rsidRPr="007664B0">
        <w:rPr>
          <w:szCs w:val="24"/>
        </w:rPr>
        <w:t>: jelenleg nincs közművesítve, az áram és ivóvíz</w:t>
      </w:r>
      <w:r w:rsidR="005A5AC0">
        <w:rPr>
          <w:szCs w:val="24"/>
        </w:rPr>
        <w:t xml:space="preserve"> </w:t>
      </w:r>
      <w:r w:rsidR="00516283">
        <w:rPr>
          <w:szCs w:val="24"/>
        </w:rPr>
        <w:t xml:space="preserve">hálózat </w:t>
      </w:r>
      <w:r w:rsidR="005A5AC0">
        <w:rPr>
          <w:szCs w:val="24"/>
        </w:rPr>
        <w:t>az ingatlan előtt</w:t>
      </w:r>
      <w:r w:rsidRPr="007664B0">
        <w:rPr>
          <w:szCs w:val="24"/>
        </w:rPr>
        <w:t xml:space="preserve">, szennyvíz </w:t>
      </w:r>
      <w:r w:rsidR="005A5AC0">
        <w:rPr>
          <w:szCs w:val="24"/>
        </w:rPr>
        <w:t>bekötés a telekhatáron.</w:t>
      </w:r>
    </w:p>
    <w:p w:rsidR="005A5AC0" w:rsidRPr="00954CE5" w:rsidRDefault="005A5AC0" w:rsidP="009140EC">
      <w:pPr>
        <w:autoSpaceDE w:val="0"/>
        <w:autoSpaceDN w:val="0"/>
        <w:adjustRightInd w:val="0"/>
        <w:jc w:val="both"/>
        <w:rPr>
          <w:szCs w:val="24"/>
        </w:rPr>
      </w:pPr>
    </w:p>
    <w:p w:rsidR="009140EC" w:rsidRPr="00B406A3" w:rsidRDefault="009140EC" w:rsidP="001A355C">
      <w:pPr>
        <w:suppressAutoHyphens/>
        <w:jc w:val="both"/>
        <w:rPr>
          <w:bCs/>
          <w:szCs w:val="24"/>
        </w:rPr>
      </w:pPr>
      <w:r w:rsidRPr="00B406A3">
        <w:rPr>
          <w:bCs/>
          <w:szCs w:val="24"/>
        </w:rPr>
        <w:t xml:space="preserve">Az ingatlan induló </w:t>
      </w:r>
      <w:proofErr w:type="gramStart"/>
      <w:r w:rsidRPr="00B406A3">
        <w:rPr>
          <w:bCs/>
          <w:szCs w:val="24"/>
        </w:rPr>
        <w:t xml:space="preserve">vételára </w:t>
      </w:r>
      <w:r w:rsidR="00516283">
        <w:rPr>
          <w:bCs/>
          <w:szCs w:val="24"/>
          <w:highlight w:val="yellow"/>
        </w:rPr>
        <w:t>….</w:t>
      </w:r>
      <w:proofErr w:type="gramEnd"/>
      <w:r w:rsidR="00516283">
        <w:rPr>
          <w:bCs/>
          <w:szCs w:val="24"/>
          <w:highlight w:val="yellow"/>
        </w:rPr>
        <w:t>.</w:t>
      </w:r>
      <w:r w:rsidRPr="00B406A3">
        <w:rPr>
          <w:bCs/>
          <w:szCs w:val="24"/>
          <w:highlight w:val="yellow"/>
        </w:rPr>
        <w:t>.000.000</w:t>
      </w:r>
      <w:r w:rsidR="001A355C" w:rsidRPr="00B406A3">
        <w:rPr>
          <w:bCs/>
          <w:szCs w:val="24"/>
        </w:rPr>
        <w:t xml:space="preserve"> Ft.</w:t>
      </w:r>
    </w:p>
    <w:p w:rsidR="00B406A3" w:rsidRPr="00516283" w:rsidRDefault="00B406A3" w:rsidP="001A355C">
      <w:pPr>
        <w:suppressAutoHyphens/>
        <w:jc w:val="both"/>
        <w:rPr>
          <w:b/>
          <w:bCs/>
          <w:szCs w:val="24"/>
        </w:rPr>
      </w:pPr>
    </w:p>
    <w:p w:rsidR="001A355C" w:rsidRPr="00516283" w:rsidRDefault="001A355C" w:rsidP="001A355C">
      <w:pPr>
        <w:suppressAutoHyphens/>
        <w:jc w:val="both"/>
        <w:rPr>
          <w:szCs w:val="24"/>
          <w:shd w:val="clear" w:color="auto" w:fill="FFFFFF"/>
        </w:rPr>
      </w:pPr>
      <w:r w:rsidRPr="00516283">
        <w:rPr>
          <w:szCs w:val="24"/>
          <w:shd w:val="clear" w:color="auto" w:fill="FFFFFF"/>
        </w:rPr>
        <w:t>A pályázat elbírálási szempontja a legmagasabb összegű ellenszolgáltatás.</w:t>
      </w:r>
    </w:p>
    <w:p w:rsidR="00B406A3" w:rsidRDefault="00B406A3" w:rsidP="001A355C">
      <w:pPr>
        <w:suppressAutoHyphens/>
        <w:jc w:val="both"/>
        <w:rPr>
          <w:szCs w:val="24"/>
          <w:shd w:val="clear" w:color="auto" w:fill="FFFFFF"/>
        </w:rPr>
      </w:pPr>
      <w:r w:rsidRPr="00516283">
        <w:rPr>
          <w:szCs w:val="24"/>
          <w:shd w:val="clear" w:color="auto" w:fill="FFFFFF"/>
        </w:rPr>
        <w:t>A pályázatnak tartalmaznia kell a pályázó adatait, a pályázati felhívásban előírtakat, nyilatkozatot a pályázati feltételek elfogadásáról.</w:t>
      </w:r>
    </w:p>
    <w:p w:rsidR="00516283" w:rsidRPr="00516283" w:rsidRDefault="00516283" w:rsidP="001A355C">
      <w:pPr>
        <w:suppressAutoHyphens/>
        <w:jc w:val="both"/>
        <w:rPr>
          <w:szCs w:val="24"/>
          <w:shd w:val="clear" w:color="auto" w:fill="FFFFFF"/>
        </w:rPr>
      </w:pPr>
    </w:p>
    <w:p w:rsidR="00B406A3" w:rsidRPr="00B406A3" w:rsidRDefault="00B406A3" w:rsidP="00516283">
      <w:pPr>
        <w:shd w:val="clear" w:color="auto" w:fill="FFFFFF"/>
        <w:jc w:val="both"/>
        <w:rPr>
          <w:szCs w:val="24"/>
        </w:rPr>
      </w:pPr>
      <w:r w:rsidRPr="00B406A3">
        <w:rPr>
          <w:szCs w:val="24"/>
        </w:rPr>
        <w:t>A pályá</w:t>
      </w:r>
      <w:r w:rsidR="002E0EA5">
        <w:rPr>
          <w:szCs w:val="24"/>
        </w:rPr>
        <w:t>zatok bontását a polgármester,</w:t>
      </w:r>
      <w:r w:rsidRPr="00B406A3">
        <w:rPr>
          <w:szCs w:val="24"/>
        </w:rPr>
        <w:t xml:space="preserve"> érvényességük megállapítását és a pályázatok elbírálást a Képviselő-testület végzi.</w:t>
      </w:r>
    </w:p>
    <w:p w:rsidR="00B406A3" w:rsidRPr="003552C7" w:rsidRDefault="00B406A3" w:rsidP="00516283">
      <w:pPr>
        <w:shd w:val="clear" w:color="auto" w:fill="FFFFFF"/>
        <w:spacing w:before="100" w:beforeAutospacing="1" w:after="100" w:afterAutospacing="1"/>
        <w:jc w:val="both"/>
        <w:rPr>
          <w:szCs w:val="24"/>
        </w:rPr>
      </w:pPr>
      <w:r w:rsidRPr="003552C7">
        <w:rPr>
          <w:szCs w:val="24"/>
        </w:rPr>
        <w:lastRenderedPageBreak/>
        <w:t>A pályázatot az a pályázó nyeri meg, amelyik az eladási ár, bérleti vagy egyéb díj tekintetében a legmagasabb összeg megfizetését vállalta.</w:t>
      </w:r>
    </w:p>
    <w:p w:rsidR="00B406A3" w:rsidRPr="003552C7" w:rsidRDefault="00B406A3" w:rsidP="00516283">
      <w:pPr>
        <w:shd w:val="clear" w:color="auto" w:fill="FFFFFF"/>
        <w:spacing w:before="100" w:beforeAutospacing="1" w:after="100" w:afterAutospacing="1"/>
        <w:jc w:val="both"/>
        <w:rPr>
          <w:szCs w:val="24"/>
        </w:rPr>
      </w:pPr>
      <w:r w:rsidRPr="003552C7">
        <w:rPr>
          <w:szCs w:val="24"/>
        </w:rPr>
        <w:t>Amennyiben a pályázók közül többen azonos összeg megfizetését vállalták, vagy a vállalt összegek között 5 %-nál nem nagyobb az eltérés, az érintett pályázók részvételével pályázati tárgyalást kell tartani, ahol a pályázóknak a vagyontárgy vételárára, bérleti- vagy egyéb díjára kell licitálni.</w:t>
      </w:r>
    </w:p>
    <w:p w:rsidR="00B406A3" w:rsidRPr="003552C7" w:rsidRDefault="00516283" w:rsidP="00516283">
      <w:pPr>
        <w:shd w:val="clear" w:color="auto" w:fill="FFFFFF"/>
        <w:spacing w:before="100" w:beforeAutospacing="1" w:after="100" w:afterAutospacing="1"/>
        <w:jc w:val="both"/>
        <w:rPr>
          <w:szCs w:val="24"/>
        </w:rPr>
      </w:pPr>
      <w:r w:rsidRPr="003552C7">
        <w:rPr>
          <w:szCs w:val="24"/>
        </w:rPr>
        <w:t>A</w:t>
      </w:r>
      <w:r w:rsidR="00B406A3" w:rsidRPr="003552C7">
        <w:rPr>
          <w:szCs w:val="24"/>
        </w:rPr>
        <w:t xml:space="preserve"> pályázati tárgyalást a polgármester bonyolítja le.</w:t>
      </w:r>
    </w:p>
    <w:p w:rsidR="00B406A3" w:rsidRPr="00B406A3" w:rsidRDefault="00B406A3" w:rsidP="00516283">
      <w:pPr>
        <w:shd w:val="clear" w:color="auto" w:fill="FFFFFF"/>
        <w:spacing w:before="100" w:beforeAutospacing="1" w:after="100" w:afterAutospacing="1"/>
        <w:jc w:val="both"/>
        <w:rPr>
          <w:color w:val="333E55"/>
          <w:szCs w:val="24"/>
        </w:rPr>
      </w:pPr>
      <w:r w:rsidRPr="00B406A3">
        <w:rPr>
          <w:color w:val="333E55"/>
          <w:szCs w:val="24"/>
          <w:highlight w:val="yellow"/>
        </w:rPr>
        <w:t>A licitlépcső összeg</w:t>
      </w:r>
      <w:r w:rsidR="00516283" w:rsidRPr="00516283">
        <w:rPr>
          <w:color w:val="333E55"/>
          <w:szCs w:val="24"/>
          <w:highlight w:val="yellow"/>
        </w:rPr>
        <w:t>e</w:t>
      </w:r>
      <w:proofErr w:type="gramStart"/>
      <w:r w:rsidR="00516283" w:rsidRPr="00516283">
        <w:rPr>
          <w:color w:val="333E55"/>
          <w:szCs w:val="24"/>
          <w:highlight w:val="yellow"/>
        </w:rPr>
        <w:t>: ….</w:t>
      </w:r>
      <w:proofErr w:type="gramEnd"/>
      <w:r w:rsidR="00516283" w:rsidRPr="00516283">
        <w:rPr>
          <w:color w:val="333E55"/>
          <w:szCs w:val="24"/>
          <w:highlight w:val="yellow"/>
        </w:rPr>
        <w:t>.Ft</w:t>
      </w:r>
      <w:r w:rsidRPr="00B406A3">
        <w:rPr>
          <w:color w:val="333E55"/>
          <w:szCs w:val="24"/>
          <w:highlight w:val="yellow"/>
        </w:rPr>
        <w:t>.</w:t>
      </w:r>
    </w:p>
    <w:p w:rsidR="00B406A3" w:rsidRPr="00B406A3" w:rsidRDefault="00B406A3" w:rsidP="00516283">
      <w:pPr>
        <w:shd w:val="clear" w:color="auto" w:fill="FFFFFF"/>
        <w:spacing w:before="100" w:beforeAutospacing="1" w:after="100" w:afterAutospacing="1"/>
        <w:jc w:val="both"/>
        <w:rPr>
          <w:szCs w:val="24"/>
        </w:rPr>
      </w:pPr>
      <w:r w:rsidRPr="00B406A3">
        <w:rPr>
          <w:szCs w:val="24"/>
        </w:rPr>
        <w:t>Az induló alapár vagy díj a pályázati tárgyaláson résztvevő pályázók által a benyújtott pályázatukban vállalt azonos összeg; vagy amennyiben az 5 %-nál nem nagyobb különbség miatt kerül sor pályázati tárgyalásra, akkor az eltérő összegek közül a legmagasabb összeg.</w:t>
      </w:r>
    </w:p>
    <w:p w:rsidR="00B406A3" w:rsidRPr="00B406A3" w:rsidRDefault="00B406A3" w:rsidP="00516283">
      <w:pPr>
        <w:shd w:val="clear" w:color="auto" w:fill="FFFFFF"/>
        <w:jc w:val="both"/>
        <w:rPr>
          <w:szCs w:val="24"/>
        </w:rPr>
      </w:pPr>
      <w:r w:rsidRPr="00516283">
        <w:rPr>
          <w:szCs w:val="24"/>
          <w:vertAlign w:val="superscript"/>
        </w:rPr>
        <w:t xml:space="preserve"> </w:t>
      </w:r>
      <w:r w:rsidRPr="00B406A3">
        <w:rPr>
          <w:szCs w:val="24"/>
        </w:rPr>
        <w:t>A pályázati tárgyalást addig kell folytatni, amíg a pályázók ajánlatot tesznek.</w:t>
      </w:r>
    </w:p>
    <w:p w:rsidR="00380C91" w:rsidRPr="00380C91" w:rsidRDefault="00380C91" w:rsidP="00516283">
      <w:pPr>
        <w:shd w:val="clear" w:color="auto" w:fill="FFFFFF"/>
        <w:jc w:val="both"/>
        <w:rPr>
          <w:szCs w:val="24"/>
        </w:rPr>
      </w:pPr>
      <w:r w:rsidRPr="00380C91">
        <w:rPr>
          <w:szCs w:val="24"/>
        </w:rPr>
        <w:t xml:space="preserve">A képviselő-testület a pályázati eljárás és a pályázatok eredményességéről, a vagyon értékesítésére vagy hasznosítására vonatkozó szerződés megkötéséről a pályázatok beadási határidejét követő, pályázati tárgyalás esetén az azt követő 20 napon belül </w:t>
      </w:r>
      <w:proofErr w:type="gramStart"/>
      <w:r w:rsidRPr="00380C91">
        <w:rPr>
          <w:szCs w:val="24"/>
        </w:rPr>
        <w:t>hoz</w:t>
      </w:r>
      <w:proofErr w:type="gramEnd"/>
      <w:r w:rsidRPr="00380C91">
        <w:rPr>
          <w:szCs w:val="24"/>
        </w:rPr>
        <w:t xml:space="preserve"> dönt.</w:t>
      </w:r>
      <w:r w:rsidR="00516283" w:rsidRPr="00516283">
        <w:rPr>
          <w:szCs w:val="24"/>
        </w:rPr>
        <w:t xml:space="preserve"> </w:t>
      </w:r>
      <w:r w:rsidRPr="00380C91">
        <w:rPr>
          <w:szCs w:val="24"/>
        </w:rPr>
        <w:t>Szerződéskötésre a Képviselő-testület döntését követő 15 napon belül kerül sor.</w:t>
      </w:r>
      <w:r w:rsidR="00516283" w:rsidRPr="00516283">
        <w:rPr>
          <w:szCs w:val="24"/>
        </w:rPr>
        <w:t xml:space="preserve"> </w:t>
      </w:r>
      <w:r w:rsidRPr="00380C91">
        <w:rPr>
          <w:szCs w:val="24"/>
        </w:rPr>
        <w:t>Amennyiben a pályázat nyertese a </w:t>
      </w:r>
      <w:hyperlink r:id="rId4" w:anchor="SZ17@BE2" w:history="1">
        <w:r w:rsidRPr="00380C91">
          <w:rPr>
            <w:szCs w:val="24"/>
            <w:u w:val="single"/>
          </w:rPr>
          <w:t>(2) bekezdés</w:t>
        </w:r>
      </w:hyperlink>
      <w:r w:rsidRPr="00380C91">
        <w:rPr>
          <w:szCs w:val="24"/>
        </w:rPr>
        <w:t> szerinti határidőben nem köt szerződést, akkor az utána következő legmagasabb összegű ajánlatot tevő, vagy amennyiben az elbírálás szempontja az összességében legelőnyösebb ajánlat volt, akkor az összességében második legjobb ajánlatot tevő pályázót kell a pályázat nyertesének tekinteni.</w:t>
      </w:r>
    </w:p>
    <w:p w:rsidR="009140EC" w:rsidRDefault="009140EC" w:rsidP="009140EC">
      <w:pPr>
        <w:suppressAutoHyphens/>
        <w:jc w:val="both"/>
        <w:rPr>
          <w:rFonts w:eastAsia="Noto Sans CJK SC Regular" w:cs="FreeSans"/>
          <w:kern w:val="2"/>
          <w:lang w:eastAsia="zh-CN" w:bidi="hi-IN"/>
        </w:rPr>
      </w:pPr>
    </w:p>
    <w:p w:rsidR="009140EC" w:rsidRDefault="009140EC" w:rsidP="009140EC">
      <w:pPr>
        <w:pStyle w:val="Szvegtrzs"/>
        <w:rPr>
          <w:b w:val="0"/>
          <w:szCs w:val="24"/>
        </w:rPr>
      </w:pPr>
      <w:r w:rsidRPr="00516283">
        <w:rPr>
          <w:b w:val="0"/>
          <w:szCs w:val="24"/>
          <w:highlight w:val="yellow"/>
        </w:rPr>
        <w:t xml:space="preserve">Az ingatlan </w:t>
      </w:r>
      <w:r w:rsidR="001A355C" w:rsidRPr="00516283">
        <w:rPr>
          <w:b w:val="0"/>
          <w:highlight w:val="yellow"/>
        </w:rPr>
        <w:t>2026</w:t>
      </w:r>
      <w:r w:rsidRPr="00516283">
        <w:rPr>
          <w:b w:val="0"/>
          <w:highlight w:val="yellow"/>
        </w:rPr>
        <w:t xml:space="preserve">. </w:t>
      </w:r>
      <w:proofErr w:type="gramStart"/>
      <w:r w:rsidR="001A355C" w:rsidRPr="00516283">
        <w:rPr>
          <w:b w:val="0"/>
          <w:highlight w:val="yellow"/>
        </w:rPr>
        <w:t>március …</w:t>
      </w:r>
      <w:proofErr w:type="spellStart"/>
      <w:proofErr w:type="gramEnd"/>
      <w:r w:rsidRPr="00516283">
        <w:rPr>
          <w:b w:val="0"/>
          <w:highlight w:val="yellow"/>
        </w:rPr>
        <w:t>-én</w:t>
      </w:r>
      <w:proofErr w:type="spellEnd"/>
      <w:r w:rsidRPr="00516283">
        <w:rPr>
          <w:b w:val="0"/>
          <w:highlight w:val="yellow"/>
        </w:rPr>
        <w:t xml:space="preserve"> </w:t>
      </w:r>
      <w:r w:rsidR="001A355C" w:rsidRPr="00516283">
        <w:rPr>
          <w:b w:val="0"/>
          <w:highlight w:val="yellow"/>
        </w:rPr>
        <w:t>….</w:t>
      </w:r>
      <w:r w:rsidRPr="00516283">
        <w:rPr>
          <w:b w:val="0"/>
          <w:highlight w:val="yellow"/>
        </w:rPr>
        <w:t xml:space="preserve"> órakor</w:t>
      </w:r>
      <w:r w:rsidRPr="00516283">
        <w:rPr>
          <w:highlight w:val="yellow"/>
        </w:rPr>
        <w:t xml:space="preserve"> </w:t>
      </w:r>
      <w:r w:rsidRPr="00516283">
        <w:rPr>
          <w:b w:val="0"/>
          <w:szCs w:val="24"/>
          <w:highlight w:val="yellow"/>
        </w:rPr>
        <w:t>tekinthető meg.</w:t>
      </w:r>
    </w:p>
    <w:p w:rsidR="009140EC" w:rsidRDefault="009140EC" w:rsidP="009140E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lezárt borítékban Köveskál </w:t>
      </w:r>
      <w:r w:rsidR="002E0EA5">
        <w:rPr>
          <w:rFonts w:eastAsia="Noto Sans CJK SC Regular" w:cs="FreeSans"/>
          <w:kern w:val="2"/>
          <w:lang w:eastAsia="zh-CN" w:bidi="hi-IN"/>
        </w:rPr>
        <w:t>k</w:t>
      </w:r>
      <w:r>
        <w:rPr>
          <w:rFonts w:eastAsia="Noto Sans CJK SC Regular" w:cs="FreeSans"/>
          <w:kern w:val="2"/>
          <w:lang w:eastAsia="zh-CN" w:bidi="hi-IN"/>
        </w:rPr>
        <w:t xml:space="preserve">özség </w:t>
      </w:r>
      <w:r w:rsidR="002E0EA5">
        <w:rPr>
          <w:rFonts w:eastAsia="Noto Sans CJK SC Regular" w:cs="FreeSans"/>
          <w:kern w:val="2"/>
          <w:lang w:eastAsia="zh-CN" w:bidi="hi-IN"/>
        </w:rPr>
        <w:t xml:space="preserve">Polgármesterének </w:t>
      </w:r>
      <w:r>
        <w:rPr>
          <w:rFonts w:eastAsia="Noto Sans CJK SC Regular" w:cs="FreeSans"/>
          <w:kern w:val="2"/>
          <w:lang w:eastAsia="zh-CN" w:bidi="hi-IN"/>
        </w:rPr>
        <w:t xml:space="preserve">címezve kell benyújtani postai úton (8274 Köveskál, Fő u. 10.) vagy személyesen ügyfélfogadási időben a Kővágóörsi Közös Önkormányzati Hivatalban (8254 Kővágóörs, Petőfi u. 2.). A borítékra rá kell írni: „Pályázat a Köveskál </w:t>
      </w:r>
      <w:r w:rsidR="001A355C">
        <w:rPr>
          <w:rFonts w:eastAsia="Noto Sans CJK SC Regular" w:cs="FreeSans"/>
          <w:kern w:val="2"/>
          <w:lang w:eastAsia="zh-CN" w:bidi="hi-IN"/>
        </w:rPr>
        <w:t>435</w:t>
      </w:r>
      <w:r>
        <w:rPr>
          <w:rFonts w:eastAsia="Noto Sans CJK SC Regular" w:cs="FreeSans"/>
          <w:kern w:val="2"/>
          <w:lang w:eastAsia="zh-CN" w:bidi="hi-IN"/>
        </w:rPr>
        <w:t xml:space="preserve">. </w:t>
      </w:r>
      <w:proofErr w:type="spellStart"/>
      <w:r>
        <w:rPr>
          <w:rFonts w:eastAsia="Noto Sans CJK SC Regular" w:cs="FreeSans"/>
          <w:kern w:val="2"/>
          <w:lang w:eastAsia="zh-CN" w:bidi="hi-IN"/>
        </w:rPr>
        <w:t>hrsz-ú</w:t>
      </w:r>
      <w:proofErr w:type="spellEnd"/>
      <w:r>
        <w:rPr>
          <w:rFonts w:eastAsia="Noto Sans CJK SC Regular" w:cs="FreeSans"/>
          <w:kern w:val="2"/>
          <w:lang w:eastAsia="zh-CN" w:bidi="hi-IN"/>
        </w:rPr>
        <w:t xml:space="preserve"> ingatlan megvásárlására” </w:t>
      </w:r>
    </w:p>
    <w:p w:rsidR="009140EC" w:rsidRDefault="009140EC" w:rsidP="009140E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pályázat benyújtási határideje, mely időpontig a pályá</w:t>
      </w:r>
      <w:r w:rsidR="001A355C">
        <w:rPr>
          <w:rFonts w:eastAsia="Noto Sans CJK SC Regular" w:cs="FreeSans"/>
          <w:kern w:val="2"/>
          <w:lang w:eastAsia="zh-CN" w:bidi="hi-IN"/>
        </w:rPr>
        <w:t xml:space="preserve">zatnak be is kell érkeznie: </w:t>
      </w:r>
      <w:r w:rsidR="001A355C" w:rsidRPr="00516283">
        <w:rPr>
          <w:rFonts w:eastAsia="Noto Sans CJK SC Regular" w:cs="FreeSans"/>
          <w:kern w:val="2"/>
          <w:highlight w:val="yellow"/>
          <w:lang w:eastAsia="zh-CN" w:bidi="hi-IN"/>
        </w:rPr>
        <w:t>2026</w:t>
      </w:r>
      <w:r w:rsidRPr="00516283">
        <w:rPr>
          <w:rFonts w:eastAsia="Noto Sans CJK SC Regular" w:cs="FreeSans"/>
          <w:kern w:val="2"/>
          <w:highlight w:val="yellow"/>
          <w:lang w:eastAsia="zh-CN" w:bidi="hi-IN"/>
        </w:rPr>
        <w:t xml:space="preserve">. </w:t>
      </w:r>
      <w:r w:rsidR="002E0EA5">
        <w:rPr>
          <w:rFonts w:eastAsia="Noto Sans CJK SC Regular" w:cs="FreeSans"/>
          <w:kern w:val="2"/>
          <w:highlight w:val="yellow"/>
          <w:lang w:eastAsia="zh-CN" w:bidi="hi-IN"/>
        </w:rPr>
        <w:t xml:space="preserve">március </w:t>
      </w:r>
      <w:r w:rsidR="002E0EA5" w:rsidRPr="005E0408">
        <w:rPr>
          <w:rFonts w:eastAsia="Noto Sans CJK SC Regular" w:cs="FreeSans"/>
          <w:i/>
          <w:kern w:val="2"/>
          <w:highlight w:val="yellow"/>
          <w:lang w:eastAsia="zh-CN" w:bidi="hi-IN"/>
        </w:rPr>
        <w:t>2</w:t>
      </w:r>
      <w:r w:rsidR="00753DE4">
        <w:rPr>
          <w:rFonts w:eastAsia="Noto Sans CJK SC Regular" w:cs="FreeSans"/>
          <w:i/>
          <w:kern w:val="2"/>
          <w:highlight w:val="yellow"/>
          <w:lang w:eastAsia="zh-CN" w:bidi="hi-IN"/>
        </w:rPr>
        <w:t>5</w:t>
      </w:r>
      <w:bookmarkStart w:id="0" w:name="_GoBack"/>
      <w:bookmarkEnd w:id="0"/>
      <w:r w:rsidRPr="005E0408">
        <w:rPr>
          <w:rFonts w:eastAsia="Noto Sans CJK SC Regular" w:cs="FreeSans"/>
          <w:i/>
          <w:kern w:val="2"/>
          <w:highlight w:val="yellow"/>
          <w:lang w:eastAsia="zh-CN" w:bidi="hi-IN"/>
        </w:rPr>
        <w:t>.</w:t>
      </w:r>
    </w:p>
    <w:p w:rsidR="009140EC" w:rsidRDefault="009140EC" w:rsidP="009140EC">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hiányosan vagy elkésetten benyújtott pályázat érvénytelen.</w:t>
      </w:r>
    </w:p>
    <w:p w:rsidR="009140EC" w:rsidRPr="00D01E7A" w:rsidRDefault="009140EC" w:rsidP="009140EC">
      <w:pPr>
        <w:jc w:val="both"/>
        <w:rPr>
          <w:szCs w:val="24"/>
        </w:rPr>
      </w:pPr>
      <w:r w:rsidRPr="00D01E7A">
        <w:rPr>
          <w:szCs w:val="24"/>
        </w:rPr>
        <w:t>A Képviselő-testület</w:t>
      </w:r>
      <w:r w:rsidRPr="00D01E7A">
        <w:rPr>
          <w:color w:val="00B050"/>
          <w:szCs w:val="24"/>
        </w:rPr>
        <w:t xml:space="preserve"> </w:t>
      </w:r>
      <w:r w:rsidRPr="00D01E7A">
        <w:rPr>
          <w:szCs w:val="24"/>
        </w:rPr>
        <w:t>fenntartja a jogot, hogy a pályázato</w:t>
      </w:r>
      <w:r>
        <w:rPr>
          <w:szCs w:val="24"/>
        </w:rPr>
        <w:t>t eredménytelennek nyilvánítsa.</w:t>
      </w:r>
    </w:p>
    <w:p w:rsidR="009140EC" w:rsidRPr="00D01E7A" w:rsidRDefault="009140EC" w:rsidP="009140EC">
      <w:pPr>
        <w:jc w:val="both"/>
        <w:rPr>
          <w:szCs w:val="24"/>
        </w:rPr>
      </w:pPr>
    </w:p>
    <w:p w:rsidR="009140EC" w:rsidRPr="00D01E7A" w:rsidRDefault="009140EC" w:rsidP="009140EC">
      <w:pPr>
        <w:jc w:val="both"/>
        <w:rPr>
          <w:szCs w:val="24"/>
        </w:rPr>
      </w:pPr>
      <w:r w:rsidRPr="00D01E7A">
        <w:rPr>
          <w:szCs w:val="24"/>
        </w:rPr>
        <w:t xml:space="preserve">A pályázat kiírója felhívja a figyelmet, hogy a nemzeti vagyonról szóló 2011. évi CXCVI. törvény 14. § (2) bekezdése szerint a helyi önkormányzat tulajdonában lévő ingatlan értékesítése esetén az államot minden más jogosultat megelőző elővásárlási jog illeti meg, melynek gyakorlására törvényben meghatározott szerv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w:t>
      </w:r>
    </w:p>
    <w:p w:rsidR="009140EC" w:rsidRDefault="009140EC" w:rsidP="009140EC">
      <w:pPr>
        <w:jc w:val="both"/>
        <w:rPr>
          <w:szCs w:val="24"/>
        </w:rPr>
      </w:pPr>
    </w:p>
    <w:p w:rsidR="009140EC" w:rsidRDefault="009140EC" w:rsidP="009140EC">
      <w:pPr>
        <w:jc w:val="both"/>
        <w:rPr>
          <w:szCs w:val="24"/>
        </w:rPr>
      </w:pPr>
      <w:r>
        <w:rPr>
          <w:szCs w:val="24"/>
        </w:rPr>
        <w:t xml:space="preserve">A pályázati felhívással kapcsolatban érdeklődni 06/30/295 7962 telefonszámon Györffy Szabolcs polgármesternél lehet. </w:t>
      </w:r>
    </w:p>
    <w:p w:rsidR="009140EC" w:rsidRDefault="009140EC" w:rsidP="009140EC"/>
    <w:sectPr w:rsidR="00914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EC"/>
    <w:rsid w:val="001A355C"/>
    <w:rsid w:val="002E0EA5"/>
    <w:rsid w:val="003552C7"/>
    <w:rsid w:val="00380C91"/>
    <w:rsid w:val="00516283"/>
    <w:rsid w:val="005A5AC0"/>
    <w:rsid w:val="005E0408"/>
    <w:rsid w:val="00753DE4"/>
    <w:rsid w:val="007664B0"/>
    <w:rsid w:val="007E13A9"/>
    <w:rsid w:val="009140EC"/>
    <w:rsid w:val="00A4288B"/>
    <w:rsid w:val="00B406A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57CDA-5A70-4A0C-9A5B-848FBB87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140EC"/>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9140EC"/>
    <w:pPr>
      <w:jc w:val="both"/>
    </w:pPr>
    <w:rPr>
      <w:b/>
    </w:rPr>
  </w:style>
  <w:style w:type="character" w:customStyle="1" w:styleId="SzvegtrzsChar">
    <w:name w:val="Szövegtörzs Char"/>
    <w:basedOn w:val="Bekezdsalapbettpusa"/>
    <w:link w:val="Szvegtrzs"/>
    <w:rsid w:val="009140EC"/>
    <w:rPr>
      <w:rFonts w:ascii="Times New Roman" w:eastAsia="Times New Roman" w:hAnsi="Times New Roman" w:cs="Times New Roman"/>
      <w:b/>
      <w:sz w:val="24"/>
      <w:szCs w:val="20"/>
      <w:lang w:eastAsia="hu-HU"/>
    </w:rPr>
  </w:style>
  <w:style w:type="table" w:styleId="Rcsostblzat">
    <w:name w:val="Table Grid"/>
    <w:basedOn w:val="Normltblzat"/>
    <w:uiPriority w:val="39"/>
    <w:rsid w:val="0091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B406A3"/>
    <w:pPr>
      <w:spacing w:before="100" w:beforeAutospacing="1" w:after="100" w:afterAutospacing="1"/>
    </w:pPr>
    <w:rPr>
      <w:szCs w:val="24"/>
    </w:rPr>
  </w:style>
  <w:style w:type="character" w:customStyle="1" w:styleId="jel">
    <w:name w:val="jel"/>
    <w:basedOn w:val="Bekezdsalapbettpusa"/>
    <w:rsid w:val="00B4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28957">
      <w:bodyDiv w:val="1"/>
      <w:marLeft w:val="0"/>
      <w:marRight w:val="0"/>
      <w:marTop w:val="0"/>
      <w:marBottom w:val="0"/>
      <w:divBdr>
        <w:top w:val="none" w:sz="0" w:space="0" w:color="auto"/>
        <w:left w:val="none" w:sz="0" w:space="0" w:color="auto"/>
        <w:bottom w:val="none" w:sz="0" w:space="0" w:color="auto"/>
        <w:right w:val="none" w:sz="0" w:space="0" w:color="auto"/>
      </w:divBdr>
    </w:div>
    <w:div w:id="133183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r.njt.hu/eli/427944/r/2004/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4269</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Cséri Móni</dc:creator>
  <cp:keywords/>
  <dc:description/>
  <cp:lastModifiedBy>SzaboTimea</cp:lastModifiedBy>
  <cp:revision>4</cp:revision>
  <dcterms:created xsi:type="dcterms:W3CDTF">2026-03-04T11:25:00Z</dcterms:created>
  <dcterms:modified xsi:type="dcterms:W3CDTF">2026-03-04T11:41:00Z</dcterms:modified>
</cp:coreProperties>
</file>