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3D6" w:rsidRPr="00D46F34" w:rsidRDefault="008903ED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b/>
        </w:rPr>
      </w:pPr>
      <w:r>
        <w:rPr>
          <w:b/>
        </w:rPr>
        <w:t xml:space="preserve">3. </w:t>
      </w:r>
      <w:r w:rsidR="005373D6" w:rsidRPr="00D46F34">
        <w:rPr>
          <w:b/>
        </w:rPr>
        <w:t>napirend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 w:rsidRPr="00D46F34">
        <w:rPr>
          <w:rFonts w:ascii="Bodoni MT" w:hAnsi="Bodoni MT"/>
          <w:b/>
          <w:sz w:val="28"/>
          <w:szCs w:val="28"/>
        </w:rPr>
        <w:t xml:space="preserve">E l </w:t>
      </w:r>
      <w:r w:rsidRPr="00D46F34">
        <w:rPr>
          <w:b/>
          <w:sz w:val="28"/>
          <w:szCs w:val="28"/>
        </w:rPr>
        <w:t>ő t e r j e s z t é s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 w:rsidRPr="00D46F34">
        <w:rPr>
          <w:b/>
        </w:rPr>
        <w:t xml:space="preserve">Köveskál Község Önkormányzata Képviselő-testületének 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</w:t>
      </w:r>
      <w:r w:rsidR="008903ED">
        <w:rPr>
          <w:b/>
        </w:rPr>
        <w:t>6</w:t>
      </w:r>
      <w:r w:rsidRPr="00D46F34">
        <w:rPr>
          <w:b/>
        </w:rPr>
        <w:t xml:space="preserve">. </w:t>
      </w:r>
      <w:r>
        <w:rPr>
          <w:b/>
        </w:rPr>
        <w:t>február 13-á</w:t>
      </w:r>
      <w:r w:rsidRPr="00D46F34">
        <w:rPr>
          <w:b/>
        </w:rPr>
        <w:t xml:space="preserve">n tartandó </w:t>
      </w:r>
      <w:r>
        <w:rPr>
          <w:b/>
        </w:rPr>
        <w:t>nyilvános</w:t>
      </w:r>
      <w:r w:rsidRPr="00D46F34">
        <w:rPr>
          <w:b/>
        </w:rPr>
        <w:t xml:space="preserve"> ülésére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 w:rsidRPr="00D46F34">
        <w:rPr>
          <w:b/>
        </w:rPr>
        <w:t xml:space="preserve">                        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bCs/>
        </w:rPr>
      </w:pPr>
      <w:r w:rsidRPr="00D46F34">
        <w:rPr>
          <w:b/>
          <w:u w:val="single"/>
        </w:rPr>
        <w:t>Tárgy:</w:t>
      </w:r>
      <w:r w:rsidRPr="00D46F34">
        <w:rPr>
          <w:b/>
        </w:rPr>
        <w:tab/>
      </w:r>
      <w:bookmarkStart w:id="0" w:name="_Hlk8738001"/>
      <w:r w:rsidRPr="005373D6">
        <w:rPr>
          <w:b/>
          <w:bCs/>
        </w:rPr>
        <w:t>az Önkormányzat tulajdonát képező telkek kedvezményes értékesítéséről</w:t>
      </w:r>
      <w:r>
        <w:rPr>
          <w:b/>
          <w:bCs/>
        </w:rPr>
        <w:t xml:space="preserve"> </w:t>
      </w:r>
      <w:r w:rsidRPr="00D46F34">
        <w:rPr>
          <w:b/>
          <w:bCs/>
        </w:rPr>
        <w:t xml:space="preserve">szóló </w:t>
      </w:r>
      <w:r w:rsidRPr="005373D6">
        <w:rPr>
          <w:b/>
          <w:bCs/>
        </w:rPr>
        <w:t>12/2023.</w:t>
      </w:r>
      <w:r>
        <w:rPr>
          <w:b/>
          <w:bCs/>
        </w:rPr>
        <w:t xml:space="preserve"> (X. 3.) önkormányzati rendelet módosítása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0"/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 w:rsidRPr="00D46F34">
        <w:rPr>
          <w:b/>
        </w:rPr>
        <w:t xml:space="preserve">Előterjesztő: </w:t>
      </w:r>
      <w:r w:rsidRPr="00D46F34">
        <w:t>Györffy Szabolcs Zoltán polgármester</w:t>
      </w:r>
      <w:r w:rsidRPr="00D46F34">
        <w:tab/>
      </w:r>
      <w:r w:rsidRPr="00D46F34">
        <w:rPr>
          <w:b/>
        </w:rPr>
        <w:tab/>
      </w:r>
    </w:p>
    <w:p w:rsidR="005373D6" w:rsidRPr="005373D6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rPr>
          <w:b/>
        </w:rPr>
        <w:t>Előkészítette:</w:t>
      </w:r>
      <w:r w:rsidRPr="00D46F34">
        <w:rPr>
          <w:b/>
        </w:rPr>
        <w:tab/>
      </w:r>
      <w:r w:rsidRPr="005373D6">
        <w:t>dr. Szabó Tímea címzetes főjegyző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 w:rsidRPr="00D46F34">
        <w:t xml:space="preserve">                                                                                   Jogszabállyal nem ellentétes</w:t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tab/>
      </w:r>
    </w:p>
    <w:p w:rsidR="005373D6" w:rsidRPr="00D46F34" w:rsidRDefault="005373D6" w:rsidP="005373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 w:rsidRPr="00D46F34">
        <w:tab/>
        <w:t>Előterjesztő</w:t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  <w:t>dr. Szabó Tímea címzetes főjegyző</w:t>
      </w:r>
    </w:p>
    <w:p w:rsidR="005373D6" w:rsidRDefault="005373D6" w:rsidP="005373D6">
      <w:pPr>
        <w:pStyle w:val="lfej"/>
        <w:jc w:val="both"/>
      </w:pPr>
    </w:p>
    <w:p w:rsidR="005373D6" w:rsidRPr="009775A8" w:rsidRDefault="005373D6" w:rsidP="005373D6">
      <w:pPr>
        <w:pStyle w:val="lfej"/>
        <w:jc w:val="both"/>
        <w:rPr>
          <w:b/>
        </w:rPr>
      </w:pPr>
      <w:r w:rsidRPr="009775A8">
        <w:rPr>
          <w:b/>
        </w:rPr>
        <w:t>Tisztelt Képviselő-testület!</w:t>
      </w:r>
    </w:p>
    <w:p w:rsidR="005373D6" w:rsidRPr="005373D6" w:rsidRDefault="005373D6" w:rsidP="005373D6">
      <w:pPr>
        <w:pStyle w:val="lfej"/>
        <w:jc w:val="both"/>
      </w:pPr>
    </w:p>
    <w:p w:rsidR="005373D6" w:rsidRPr="005373D6" w:rsidRDefault="005373D6" w:rsidP="005373D6">
      <w:pPr>
        <w:pStyle w:val="lfej"/>
        <w:jc w:val="both"/>
        <w:rPr>
          <w:bCs/>
        </w:rPr>
      </w:pPr>
      <w:r w:rsidRPr="005373D6">
        <w:rPr>
          <w:bCs/>
        </w:rPr>
        <w:t>Az Önkormányzat tulajdonát képező telkek kedvezményes értékesítéséről szóló 12/2023. (X. 3.) önkormányzati rendelet 2023. október 4. napján lépett hatályba, mely hatályba lépést követően 5 telket</w:t>
      </w:r>
      <w:r w:rsidR="00A47FAD">
        <w:rPr>
          <w:bCs/>
        </w:rPr>
        <w:t xml:space="preserve"> </w:t>
      </w:r>
      <w:r w:rsidRPr="005373D6">
        <w:rPr>
          <w:bCs/>
        </w:rPr>
        <w:t xml:space="preserve">értékesített pályázat útján az Önkormányzat. </w:t>
      </w:r>
      <w:r w:rsidR="0080204B">
        <w:rPr>
          <w:bCs/>
        </w:rPr>
        <w:t xml:space="preserve">Az azóta </w:t>
      </w:r>
      <w:r w:rsidRPr="005373D6">
        <w:rPr>
          <w:bCs/>
        </w:rPr>
        <w:t>eltelt időben egy telek visszakerült az Önkormányzat tulajdonába a tulajdonosok visszavásárlási kérelme alapján.</w:t>
      </w:r>
    </w:p>
    <w:p w:rsidR="005373D6" w:rsidRPr="005373D6" w:rsidRDefault="005373D6" w:rsidP="005373D6">
      <w:pPr>
        <w:pStyle w:val="lfej"/>
        <w:jc w:val="both"/>
        <w:rPr>
          <w:bCs/>
        </w:rPr>
      </w:pPr>
    </w:p>
    <w:p w:rsidR="005373D6" w:rsidRPr="005373D6" w:rsidRDefault="00A47FAD" w:rsidP="005373D6">
      <w:pPr>
        <w:pStyle w:val="lfej"/>
        <w:jc w:val="both"/>
        <w:rPr>
          <w:bCs/>
        </w:rPr>
      </w:pPr>
      <w:r>
        <w:rPr>
          <w:bCs/>
        </w:rPr>
        <w:t>A gyakorlati</w:t>
      </w:r>
      <w:r w:rsidR="005373D6" w:rsidRPr="005373D6">
        <w:rPr>
          <w:bCs/>
        </w:rPr>
        <w:t xml:space="preserve"> tapasztalok</w:t>
      </w:r>
      <w:r w:rsidR="009567B4">
        <w:rPr>
          <w:bCs/>
        </w:rPr>
        <w:t xml:space="preserve"> alapján</w:t>
      </w:r>
      <w:r>
        <w:rPr>
          <w:bCs/>
        </w:rPr>
        <w:t>, valamint időközben a vonatkozó építésügyi jogszabály változásának megfelelő aktualizálás</w:t>
      </w:r>
      <w:r w:rsidR="009567B4">
        <w:rPr>
          <w:bCs/>
        </w:rPr>
        <w:t xml:space="preserve"> okán</w:t>
      </w:r>
      <w:r w:rsidR="005373D6" w:rsidRPr="005373D6">
        <w:rPr>
          <w:bCs/>
        </w:rPr>
        <w:t xml:space="preserve"> a rendelet kismértékű módosítása válik szükségessé.</w:t>
      </w:r>
    </w:p>
    <w:p w:rsidR="005373D6" w:rsidRDefault="005373D6" w:rsidP="005373D6">
      <w:pPr>
        <w:pStyle w:val="lfej"/>
        <w:jc w:val="both"/>
      </w:pPr>
    </w:p>
    <w:p w:rsidR="005373D6" w:rsidRDefault="005373D6" w:rsidP="005373D6">
      <w:pPr>
        <w:jc w:val="both"/>
      </w:pPr>
    </w:p>
    <w:p w:rsidR="005373D6" w:rsidRDefault="005373D6" w:rsidP="005373D6">
      <w:pPr>
        <w:pStyle w:val="lfej"/>
        <w:jc w:val="both"/>
      </w:pPr>
    </w:p>
    <w:p w:rsidR="005373D6" w:rsidRPr="00D138BE" w:rsidRDefault="005373D6" w:rsidP="005373D6">
      <w:pPr>
        <w:ind w:firstLine="240"/>
        <w:contextualSpacing/>
        <w:jc w:val="center"/>
        <w:outlineLvl w:val="0"/>
        <w:rPr>
          <w:b/>
          <w:bCs/>
          <w:bdr w:val="none" w:sz="0" w:space="0" w:color="auto" w:frame="1"/>
        </w:rPr>
      </w:pPr>
      <w:r w:rsidRPr="00D138BE">
        <w:rPr>
          <w:b/>
          <w:bCs/>
          <w:bdr w:val="none" w:sz="0" w:space="0" w:color="auto" w:frame="1"/>
        </w:rPr>
        <w:t>Előzetes hatásvizsgálat</w:t>
      </w:r>
    </w:p>
    <w:p w:rsidR="005373D6" w:rsidRPr="00D138BE" w:rsidRDefault="005373D6" w:rsidP="005373D6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  <w:r w:rsidRPr="00D138BE">
        <w:rPr>
          <w:b/>
          <w:bCs/>
          <w:bdr w:val="none" w:sz="0" w:space="0" w:color="auto" w:frame="1"/>
        </w:rPr>
        <w:t>a jogalkotásról szóló 2010. évi CXXX. törvény 17.§ (1) bekezdése alapján</w:t>
      </w:r>
    </w:p>
    <w:p w:rsidR="005373D6" w:rsidRPr="00D138BE" w:rsidRDefault="005373D6" w:rsidP="005373D6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</w:p>
    <w:p w:rsidR="005373D6" w:rsidRPr="00D138BE" w:rsidRDefault="005373D6" w:rsidP="005373D6">
      <w:pPr>
        <w:jc w:val="both"/>
        <w:outlineLvl w:val="0"/>
        <w:rPr>
          <w:kern w:val="36"/>
        </w:rPr>
      </w:pPr>
      <w:r w:rsidRPr="00D138BE">
        <w:rPr>
          <w:kern w:val="36"/>
        </w:rPr>
        <w:t xml:space="preserve">A jogalkotásról szóló 2010. évi CXXX. törvény 17. §-a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:rsidR="005373D6" w:rsidRPr="00D138BE" w:rsidRDefault="005373D6" w:rsidP="005373D6">
      <w:r w:rsidRPr="00D138BE">
        <w:t>A hatásvizsgálat során vizsgálni kell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a) </w:t>
      </w:r>
      <w:r w:rsidRPr="00D138BE">
        <w:t>a tervezett jogszabály valamennyi jelentősnek ítélt hatását, különösen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aa) </w:t>
      </w:r>
      <w:r w:rsidRPr="00D138BE">
        <w:t>társadalmi, gazdasági, költségvetési hatásait,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ab) </w:t>
      </w:r>
      <w:r w:rsidRPr="00D138BE">
        <w:t>környezeti és egészségi következményeit,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ac) </w:t>
      </w:r>
      <w:r w:rsidRPr="00D138BE">
        <w:t>adminisztratív terheket befolyásoló hatásait, valamint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b) </w:t>
      </w:r>
      <w:r w:rsidRPr="00D138BE">
        <w:t>a jogszabály megalkotásának szükségességét, a jogalkotás elmaradásának várható következményeit, és</w:t>
      </w:r>
    </w:p>
    <w:p w:rsidR="005373D6" w:rsidRPr="00D138BE" w:rsidRDefault="005373D6" w:rsidP="005373D6">
      <w:pPr>
        <w:jc w:val="both"/>
      </w:pPr>
      <w:r w:rsidRPr="00D138BE">
        <w:rPr>
          <w:i/>
          <w:iCs/>
        </w:rPr>
        <w:t xml:space="preserve">c) </w:t>
      </w:r>
      <w:r w:rsidRPr="00D138BE">
        <w:t>a jogszabály alkalmazásához szükséges személyi, szervezeti, tárgyi és pénzügyi feltételeket.</w:t>
      </w:r>
    </w:p>
    <w:p w:rsidR="005373D6" w:rsidRPr="00D138BE" w:rsidRDefault="005373D6" w:rsidP="005373D6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</w:p>
    <w:p w:rsidR="005373D6" w:rsidRDefault="005373D6" w:rsidP="005373D6">
      <w:pPr>
        <w:ind w:left="2880" w:hanging="2880"/>
        <w:contextualSpacing/>
        <w:jc w:val="both"/>
      </w:pPr>
      <w:r w:rsidRPr="00D138BE">
        <w:rPr>
          <w:bCs/>
          <w:bdr w:val="none" w:sz="0" w:space="0" w:color="auto" w:frame="1"/>
        </w:rPr>
        <w:t xml:space="preserve">A rendelet-tervezet címe: </w:t>
      </w:r>
      <w:r>
        <w:rPr>
          <w:bCs/>
          <w:bdr w:val="none" w:sz="0" w:space="0" w:color="auto" w:frame="1"/>
        </w:rPr>
        <w:t>Köveskál Község</w:t>
      </w:r>
      <w:r w:rsidRPr="00D138BE">
        <w:rPr>
          <w:bCs/>
          <w:bdr w:val="none" w:sz="0" w:space="0" w:color="auto" w:frame="1"/>
        </w:rPr>
        <w:t xml:space="preserve"> Önkormányzata </w:t>
      </w:r>
      <w:r>
        <w:rPr>
          <w:bCs/>
          <w:bdr w:val="none" w:sz="0" w:space="0" w:color="auto" w:frame="1"/>
        </w:rPr>
        <w:t>Képviselő- testületének …</w:t>
      </w:r>
      <w:r w:rsidRPr="00D138BE">
        <w:rPr>
          <w:bCs/>
          <w:bdr w:val="none" w:sz="0" w:space="0" w:color="auto" w:frame="1"/>
        </w:rPr>
        <w:t>/202</w:t>
      </w:r>
      <w:r>
        <w:rPr>
          <w:bCs/>
          <w:bdr w:val="none" w:sz="0" w:space="0" w:color="auto" w:frame="1"/>
        </w:rPr>
        <w:t>6</w:t>
      </w:r>
      <w:r w:rsidRPr="00D138BE">
        <w:rPr>
          <w:bCs/>
          <w:bdr w:val="none" w:sz="0" w:space="0" w:color="auto" w:frame="1"/>
        </w:rPr>
        <w:t>.</w:t>
      </w:r>
      <w:r>
        <w:rPr>
          <w:bCs/>
          <w:bdr w:val="none" w:sz="0" w:space="0" w:color="auto" w:frame="1"/>
        </w:rPr>
        <w:t xml:space="preserve"> </w:t>
      </w:r>
      <w:r w:rsidRPr="00D138BE">
        <w:rPr>
          <w:bCs/>
          <w:bdr w:val="none" w:sz="0" w:space="0" w:color="auto" w:frame="1"/>
        </w:rPr>
        <w:t xml:space="preserve">(...) önkormányzati rendelete </w:t>
      </w:r>
      <w:r>
        <w:rPr>
          <w:bCs/>
          <w:bdr w:val="none" w:sz="0" w:space="0" w:color="auto" w:frame="1"/>
        </w:rPr>
        <w:t xml:space="preserve">Köveskál Község  Önkormányzata Képviselő-testületének </w:t>
      </w:r>
      <w:r w:rsidRPr="005373D6">
        <w:rPr>
          <w:bCs/>
        </w:rPr>
        <w:t xml:space="preserve">Az Önkormányzat tulajdonát képező telkek </w:t>
      </w:r>
      <w:r w:rsidRPr="005373D6">
        <w:rPr>
          <w:bCs/>
        </w:rPr>
        <w:lastRenderedPageBreak/>
        <w:t>kedvezményes értékesítéséről szóló 12/2023. (X. 3.)</w:t>
      </w:r>
      <w:r>
        <w:rPr>
          <w:bCs/>
        </w:rPr>
        <w:t xml:space="preserve"> </w:t>
      </w:r>
      <w:r>
        <w:rPr>
          <w:bCs/>
          <w:bdr w:val="none" w:sz="0" w:space="0" w:color="auto" w:frame="1"/>
        </w:rPr>
        <w:t xml:space="preserve">önkormányzati rendelete módosításáról </w:t>
      </w:r>
    </w:p>
    <w:p w:rsidR="005373D6" w:rsidRPr="00D138BE" w:rsidRDefault="005373D6" w:rsidP="009567B4">
      <w:pPr>
        <w:ind w:left="2880" w:hanging="2880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Társadalmi-gazdasági hatása:</w:t>
      </w:r>
      <w:r w:rsidRPr="00D138B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Nincs</w:t>
      </w:r>
    </w:p>
    <w:p w:rsidR="005373D6" w:rsidRPr="00D138BE" w:rsidRDefault="005373D6" w:rsidP="009567B4">
      <w:pPr>
        <w:ind w:left="2832" w:hanging="2832"/>
        <w:contextualSpacing/>
        <w:jc w:val="both"/>
      </w:pPr>
      <w:r w:rsidRPr="00D138BE">
        <w:rPr>
          <w:bCs/>
          <w:bdr w:val="none" w:sz="0" w:space="0" w:color="auto" w:frame="1"/>
        </w:rPr>
        <w:t xml:space="preserve">Költségvetési hatása: </w:t>
      </w:r>
      <w:r>
        <w:rPr>
          <w:bCs/>
          <w:bdr w:val="none" w:sz="0" w:space="0" w:color="auto" w:frame="1"/>
        </w:rPr>
        <w:t>Nincs.</w:t>
      </w:r>
      <w:r w:rsidRPr="00D138BE">
        <w:t xml:space="preserve"> </w:t>
      </w:r>
    </w:p>
    <w:p w:rsidR="005373D6" w:rsidRPr="00D138BE" w:rsidRDefault="005373D6" w:rsidP="009567B4">
      <w:pPr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 xml:space="preserve">Környezeti, egészségi következményei: </w:t>
      </w:r>
      <w:r>
        <w:rPr>
          <w:bCs/>
          <w:bdr w:val="none" w:sz="0" w:space="0" w:color="auto" w:frame="1"/>
        </w:rPr>
        <w:t>Nincs</w:t>
      </w:r>
    </w:p>
    <w:p w:rsidR="005373D6" w:rsidRPr="00D138BE" w:rsidRDefault="005373D6" w:rsidP="009567B4">
      <w:pPr>
        <w:ind w:left="2880" w:hanging="2880"/>
        <w:contextualSpacing/>
        <w:jc w:val="both"/>
      </w:pPr>
      <w:r w:rsidRPr="00D138BE">
        <w:rPr>
          <w:bCs/>
          <w:bdr w:val="none" w:sz="0" w:space="0" w:color="auto" w:frame="1"/>
        </w:rPr>
        <w:t xml:space="preserve">Adminisztratív terheket befolyásoló hatása: </w:t>
      </w:r>
      <w:r>
        <w:rPr>
          <w:bCs/>
          <w:bdr w:val="none" w:sz="0" w:space="0" w:color="auto" w:frame="1"/>
        </w:rPr>
        <w:t>Jelentős n</w:t>
      </w:r>
      <w:r w:rsidRPr="00D138BE">
        <w:t>incs.</w:t>
      </w:r>
    </w:p>
    <w:p w:rsidR="005373D6" w:rsidRPr="00D138BE" w:rsidRDefault="005373D6" w:rsidP="009567B4">
      <w:pPr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Egyéb hatása:</w:t>
      </w:r>
      <w:r w:rsidRPr="00D138B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Nincs.</w:t>
      </w:r>
    </w:p>
    <w:p w:rsidR="009567B4" w:rsidRDefault="005373D6" w:rsidP="009567B4">
      <w:pPr>
        <w:ind w:left="2880" w:hanging="2880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A rendelet megalkotásának szükségessége:</w:t>
      </w:r>
      <w:r>
        <w:t xml:space="preserve"> </w:t>
      </w:r>
      <w:r w:rsidR="009567B4">
        <w:t>A rendelet alkalmazása során szerzett tapasztalatok alapján a rendelet egyes rendelkezéseinek pontosítása szükséges</w:t>
      </w:r>
      <w:r w:rsidR="009567B4" w:rsidRPr="00D138BE">
        <w:rPr>
          <w:bCs/>
          <w:bdr w:val="none" w:sz="0" w:space="0" w:color="auto" w:frame="1"/>
        </w:rPr>
        <w:t xml:space="preserve"> </w:t>
      </w:r>
    </w:p>
    <w:p w:rsidR="005373D6" w:rsidRPr="00D138BE" w:rsidRDefault="005373D6" w:rsidP="009567B4">
      <w:pPr>
        <w:ind w:left="2880" w:hanging="2880"/>
        <w:contextualSpacing/>
        <w:jc w:val="both"/>
      </w:pPr>
      <w:r w:rsidRPr="00D138BE">
        <w:rPr>
          <w:bCs/>
          <w:bdr w:val="none" w:sz="0" w:space="0" w:color="auto" w:frame="1"/>
        </w:rPr>
        <w:t xml:space="preserve">A rendelet megalkotása elmaradása esetén várható következmények: </w:t>
      </w:r>
      <w:r w:rsidR="0080204B">
        <w:rPr>
          <w:bCs/>
          <w:bdr w:val="none" w:sz="0" w:space="0" w:color="auto" w:frame="1"/>
        </w:rPr>
        <w:t xml:space="preserve">a gyakorlati tapasztalatok alapján nyert ismeretek nem kerülnek beépítésre, és így nem lesznek alkalmazhatóak </w:t>
      </w:r>
    </w:p>
    <w:p w:rsidR="005373D6" w:rsidRPr="00D138BE" w:rsidRDefault="005373D6" w:rsidP="009567B4">
      <w:pPr>
        <w:ind w:left="5664" w:hanging="5664"/>
        <w:contextualSpacing/>
        <w:jc w:val="both"/>
        <w:outlineLvl w:val="0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 xml:space="preserve">A rendelet alkalmazásához szükséges feltételek: </w:t>
      </w:r>
      <w:r w:rsidRPr="00D138BE">
        <w:rPr>
          <w:bCs/>
          <w:bdr w:val="none" w:sz="0" w:space="0" w:color="auto" w:frame="1"/>
        </w:rPr>
        <w:tab/>
        <w:t>- személyi: Nincs.</w:t>
      </w:r>
    </w:p>
    <w:p w:rsidR="005373D6" w:rsidRPr="00D138BE" w:rsidRDefault="005373D6" w:rsidP="009567B4">
      <w:pPr>
        <w:ind w:left="4956" w:firstLine="708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 szervezeti: Nincs.</w:t>
      </w:r>
    </w:p>
    <w:p w:rsidR="005373D6" w:rsidRPr="00D138BE" w:rsidRDefault="005373D6" w:rsidP="009567B4">
      <w:pPr>
        <w:ind w:left="4956" w:firstLine="708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 tárgyi: Nincs.</w:t>
      </w:r>
    </w:p>
    <w:p w:rsidR="005373D6" w:rsidRPr="00D138BE" w:rsidRDefault="005373D6" w:rsidP="009567B4">
      <w:pPr>
        <w:ind w:left="5664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</w:t>
      </w:r>
      <w:r>
        <w:rPr>
          <w:bCs/>
          <w:bdr w:val="none" w:sz="0" w:space="0" w:color="auto" w:frame="1"/>
        </w:rPr>
        <w:t xml:space="preserve"> </w:t>
      </w:r>
      <w:r w:rsidRPr="00D138BE">
        <w:rPr>
          <w:bCs/>
          <w:bdr w:val="none" w:sz="0" w:space="0" w:color="auto" w:frame="1"/>
        </w:rPr>
        <w:t xml:space="preserve">pénzügyi: </w:t>
      </w:r>
      <w:r>
        <w:rPr>
          <w:bCs/>
          <w:bdr w:val="none" w:sz="0" w:space="0" w:color="auto" w:frame="1"/>
        </w:rPr>
        <w:t>Nincs</w:t>
      </w:r>
      <w:r w:rsidRPr="00D138BE">
        <w:rPr>
          <w:bCs/>
          <w:bdr w:val="none" w:sz="0" w:space="0" w:color="auto" w:frame="1"/>
        </w:rPr>
        <w:t>.</w:t>
      </w:r>
    </w:p>
    <w:p w:rsidR="005373D6" w:rsidRDefault="005373D6" w:rsidP="005373D6">
      <w:pPr>
        <w:pStyle w:val="lfej"/>
        <w:jc w:val="both"/>
      </w:pPr>
    </w:p>
    <w:p w:rsidR="005373D6" w:rsidRDefault="005373D6" w:rsidP="005373D6">
      <w:pPr>
        <w:pStyle w:val="lfej"/>
        <w:jc w:val="both"/>
      </w:pPr>
    </w:p>
    <w:p w:rsidR="005373D6" w:rsidRDefault="005373D6" w:rsidP="005373D6">
      <w:pPr>
        <w:pStyle w:val="lfej"/>
        <w:jc w:val="both"/>
      </w:pPr>
      <w:r>
        <w:t>INDOKOLÁS</w:t>
      </w:r>
    </w:p>
    <w:p w:rsidR="005373D6" w:rsidRDefault="005373D6" w:rsidP="005373D6">
      <w:pPr>
        <w:pStyle w:val="lfej"/>
        <w:jc w:val="both"/>
      </w:pPr>
    </w:p>
    <w:p w:rsidR="005373D6" w:rsidRDefault="009567B4" w:rsidP="005373D6">
      <w:pPr>
        <w:pStyle w:val="lfej"/>
        <w:jc w:val="both"/>
      </w:pPr>
      <w:r>
        <w:t>A rendelet alkalmazása során szerzett tapasztalatok alapján a rendelet egyes rendelkezéseinek pontosítása szükséges.</w:t>
      </w:r>
    </w:p>
    <w:p w:rsidR="009567B4" w:rsidRDefault="009567B4" w:rsidP="005373D6">
      <w:pPr>
        <w:pStyle w:val="lfej"/>
        <w:jc w:val="both"/>
      </w:pPr>
    </w:p>
    <w:p w:rsidR="005373D6" w:rsidRDefault="005373D6" w:rsidP="005373D6">
      <w:pPr>
        <w:pStyle w:val="lfej"/>
        <w:jc w:val="both"/>
      </w:pPr>
      <w:r>
        <w:t>Rendelet tervezet:</w:t>
      </w:r>
    </w:p>
    <w:p w:rsidR="00A47FAD" w:rsidRDefault="00A47FAD" w:rsidP="00A47FA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A47FAD" w:rsidRDefault="00A47FAD" w:rsidP="00A47FA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tulajdonát képező telkek kedvezményes értékesítéséről szóló 12/2023. (X.3.) önkormányzati rendelet módosításáról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[1] A rendelet</w:t>
      </w:r>
      <w:r w:rsidR="0080204B">
        <w:t xml:space="preserve"> módosítás célja, hogy az</w:t>
      </w:r>
      <w:r>
        <w:t xml:space="preserve"> alkalmazás során szerzett tapasztalatok alapján </w:t>
      </w:r>
      <w:r w:rsidR="0080204B">
        <w:t xml:space="preserve">néhány </w:t>
      </w:r>
      <w:r>
        <w:t>rendelkezés pontosítás</w:t>
      </w:r>
      <w:r w:rsidR="0080204B">
        <w:t xml:space="preserve">ra kerüljön. </w:t>
      </w:r>
      <w:r>
        <w:t xml:space="preserve"> </w:t>
      </w:r>
    </w:p>
    <w:p w:rsidR="00A47FAD" w:rsidRDefault="00A47FAD" w:rsidP="00A47FAD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Magyarország helyi önkormányzatairól szóló 2011. évi CLXXXIX. törvény 6. § b) pontjában, 13. § (1) bekezdés 1. és 9. pontjában meghatározott feladatkörében eljárva a következőket rendeli el:</w:t>
      </w:r>
    </w:p>
    <w:p w:rsidR="00A47FAD" w:rsidRDefault="00A47FAD" w:rsidP="00A47F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Az Önkormányzat tulajdonát képező telkek kedvezményes értékesítéséről szóló 12/2023. (X. 3.) önkormányzati rendelet 2. § (3) bekezdése helyébe a következő rendelkezés lép:</w:t>
      </w:r>
    </w:p>
    <w:p w:rsidR="00A47FAD" w:rsidRDefault="00A47FAD" w:rsidP="00A47FAD">
      <w:pPr>
        <w:pStyle w:val="Szvegtrzs"/>
        <w:spacing w:before="240" w:after="240" w:line="240" w:lineRule="auto"/>
        <w:jc w:val="both"/>
      </w:pPr>
      <w:r>
        <w:t>„(3) A beépítési kötelezettség a kedvezményes áron megvásárolt telek tulajdonosát, tulajdonosait terheli, az át nem ruházható. A vételár-kedvezmény általános forgalmi adóval növelt összege erejéig az ingatlan-nyilvántartásba az Önkormányzat javára jelzálogjog kerül bejegyzésre a lakóház használatba vétel engedélyének véglegessé válásától vagy egyszerű bejelentéshez kötött, a lakóépület építése esetén a bejelentés építésügyi hatóság általi tudomásulvételéről számított 15. év végéig. Az Önkormányzat javára a jelzálogjog biztosítására elidegenítési és terhelési tilalom kerül feljegyzésre az ingatlan-nyilvántartásba.”</w:t>
      </w:r>
    </w:p>
    <w:p w:rsidR="00A47FAD" w:rsidRDefault="00A47FAD" w:rsidP="00A47F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2. §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Az Önkormányzat tulajdonát képező telkek kedvezményes értékesítéséről szóló 12/2023. (X. 3.) önkormányzati rendelet 3. § (1) és (2) bekezdése helyébe a következő rendelkezések lépnek:</w:t>
      </w:r>
    </w:p>
    <w:p w:rsidR="00A47FAD" w:rsidRDefault="00A47FAD" w:rsidP="00A47FAD">
      <w:pPr>
        <w:pStyle w:val="Szvegtrzs"/>
        <w:spacing w:before="240" w:after="0" w:line="240" w:lineRule="auto"/>
        <w:jc w:val="both"/>
      </w:pPr>
      <w:r>
        <w:t>„(1) A vevőt beépítési kötelezettség, mint településrendezési kötelezés terheli az a magyar építészetről szóló 2023. évi C. törvény 93.§ (1) bekezdés a) pontja alapján, mely alapján a vevő kötelezettséget vállal arra, hogy az ingatlanra a tulajdonjog bejegyzésétől számított 4 éven belül lakóházat épít. A beépítési kötelezettség, mint településrendezési kötelezés 4 éves időtartamra bejegyzésre kerül az ingatlan-nyilvántartásba.</w:t>
      </w:r>
    </w:p>
    <w:p w:rsidR="00A47FAD" w:rsidRDefault="00A47FAD" w:rsidP="00A47FAD">
      <w:pPr>
        <w:pStyle w:val="Szvegtrzs"/>
        <w:spacing w:before="240" w:after="240" w:line="240" w:lineRule="auto"/>
        <w:jc w:val="both"/>
      </w:pPr>
      <w:r>
        <w:t>(2) Az Önkormányzat az adásvételi szerződésben 4 éves időtartamra visszavásárlási jogot köt ki. Visszavásárlási jog gyakorlása esetén az Önkormányzat a vevő által megfizetett vételár 5 %-al csökkentett összegét fizeti vissza, kivéve, ha a Képviselő-testület a vevő különös méltánylást érdemélő helyzete okán eltekint a csökkentéstől”</w:t>
      </w:r>
    </w:p>
    <w:p w:rsidR="00A47FAD" w:rsidRDefault="00A47FAD" w:rsidP="00A47F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Az Önkormányzat tulajdonát képező telkek kedvezményes értékesítéséről szóló 12/2023. (X. 3.) önkormányzati rendelet 4. § (4) bekezdése helyébe a következő rendelkezés lép:</w:t>
      </w:r>
    </w:p>
    <w:p w:rsidR="00A47FAD" w:rsidRDefault="00A47FAD" w:rsidP="00A47FAD">
      <w:pPr>
        <w:pStyle w:val="Szvegtrzs"/>
        <w:spacing w:before="240" w:after="240" w:line="240" w:lineRule="auto"/>
        <w:jc w:val="both"/>
      </w:pPr>
      <w:r>
        <w:t>„(</w:t>
      </w:r>
      <w:r w:rsidR="009567B4">
        <w:t>4) A telek tényleges vételára,</w:t>
      </w:r>
      <w:r>
        <w:t xml:space="preserve"> az (1) bekezdés szerinti forgalmi érték és a vételárkedvezmény különbözetének általános forgalmi adóval növelt összege, amely vételárat a Képviselő-testület az adásvételt jóváhagyó határozatában állapít meg.”</w:t>
      </w:r>
    </w:p>
    <w:p w:rsidR="00A47FAD" w:rsidRDefault="00A47FAD" w:rsidP="00A47F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Az Önkormányzat tulajdonát képező telkek kedvezményes értékesítéséről szóló 12/2023. (X. 3.) önkormányzati rendelet 6. § (1) és (2) bekezdése helyébe a következő rendelkezések lépnek:</w:t>
      </w:r>
    </w:p>
    <w:p w:rsidR="00A47FAD" w:rsidRDefault="00A47FAD" w:rsidP="00A47FAD">
      <w:pPr>
        <w:pStyle w:val="Szvegtrzs"/>
        <w:spacing w:before="240" w:after="0" w:line="240" w:lineRule="auto"/>
        <w:jc w:val="both"/>
      </w:pPr>
      <w:r>
        <w:t>„(1) Az elidegenítési tilalom alól – a használatbavételi engedély kiadását követően – a Képviselő-testület különleges méltánylást érdemlő esetben felmentést adhat azzal a feltétellel, hogy a biztosított vételár kedvezmény általános forgalmi adóval növelt összegét a jegybanki alapkamat kétszeresével növelten egyösszegben az Önkormányzat számlájára be kell fizetni.</w:t>
      </w:r>
    </w:p>
    <w:p w:rsidR="00A47FAD" w:rsidRDefault="00A47FAD" w:rsidP="00A47FAD">
      <w:pPr>
        <w:pStyle w:val="Szvegtrzs"/>
        <w:spacing w:before="240" w:after="240" w:line="240" w:lineRule="auto"/>
        <w:jc w:val="both"/>
      </w:pPr>
      <w:r>
        <w:t>(2) Az a vevő, aki a gyermekvállalás vonatkozásában vagy a gyermeke, gyermekei Köveskáli Közös Fenntartású Napközi-otthonos Óvodába történő beíratása, továbbá a 15 évre szóló életvitelszerű lakóházkénti használat vonatkozásában tett vállalását nem teljesíti, köteles az e vállalás alapján részére megállapított vételár kedvezmény általános forgalmi adóval növelt összegét a jegybanki alapkamat kétszeresével növelten egyösszegben az Önkormányzat számlájára be kell fizetni.”</w:t>
      </w:r>
    </w:p>
    <w:p w:rsidR="00A47FAD" w:rsidRDefault="00A47FAD" w:rsidP="00A47F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A47FAD" w:rsidRDefault="00A47FAD" w:rsidP="00A47FA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741A23" w:rsidRDefault="00741A23" w:rsidP="00A47FAD">
      <w:pPr>
        <w:pStyle w:val="Szvegtrzs"/>
        <w:spacing w:before="240" w:after="480" w:line="240" w:lineRule="auto"/>
        <w:jc w:val="center"/>
      </w:pPr>
    </w:p>
    <w:sectPr w:rsidR="00741A23" w:rsidSect="00A47FAD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E1E" w:rsidRDefault="0080204B">
      <w:r>
        <w:separator/>
      </w:r>
    </w:p>
  </w:endnote>
  <w:endnote w:type="continuationSeparator" w:id="0">
    <w:p w:rsidR="00EC0E1E" w:rsidRDefault="0080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SimSun"/>
    <w:charset w:val="86"/>
    <w:family w:val="roman"/>
    <w:pitch w:val="default"/>
  </w:font>
  <w:font w:name="FreeSans">
    <w:altName w:val="Cambria"/>
    <w:charset w:val="00"/>
    <w:family w:val="roman"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ED" w:rsidRDefault="00051A6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0204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E1E" w:rsidRDefault="0080204B">
      <w:r>
        <w:separator/>
      </w:r>
    </w:p>
  </w:footnote>
  <w:footnote w:type="continuationSeparator" w:id="0">
    <w:p w:rsidR="00EC0E1E" w:rsidRDefault="0080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D6"/>
    <w:rsid w:val="00051A63"/>
    <w:rsid w:val="005373D6"/>
    <w:rsid w:val="006B13C4"/>
    <w:rsid w:val="00741A23"/>
    <w:rsid w:val="0080204B"/>
    <w:rsid w:val="008903ED"/>
    <w:rsid w:val="009567B4"/>
    <w:rsid w:val="00A47FAD"/>
    <w:rsid w:val="00E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007"/>
  <w15:chartTrackingRefBased/>
  <w15:docId w15:val="{7B063FD7-4D53-4862-A039-5A060171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373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373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5373D6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373D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5373D6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5373D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4</cp:revision>
  <dcterms:created xsi:type="dcterms:W3CDTF">2026-02-05T14:34:00Z</dcterms:created>
  <dcterms:modified xsi:type="dcterms:W3CDTF">2026-02-06T11:31:00Z</dcterms:modified>
</cp:coreProperties>
</file>