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2125" w:rsidRDefault="00742125" w:rsidP="0074212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  <w:r>
        <w:rPr>
          <w:b/>
        </w:rPr>
        <w:t xml:space="preserve">2. napirend </w:t>
      </w:r>
    </w:p>
    <w:p w:rsidR="005D51B4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D71207">
        <w:rPr>
          <w:b/>
        </w:rPr>
        <w:t>E L Ő T E R J E S Z T É S</w:t>
      </w:r>
    </w:p>
    <w:p w:rsidR="00742125" w:rsidRPr="00D71207" w:rsidRDefault="00742125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</w:p>
    <w:p w:rsidR="005D51B4" w:rsidRPr="00D71207" w:rsidRDefault="008462E1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>Köveskál</w:t>
      </w:r>
      <w:r w:rsidR="005D51B4" w:rsidRPr="00D71207">
        <w:rPr>
          <w:b/>
        </w:rPr>
        <w:t xml:space="preserve"> Község Önkormányzata Képviselő-testületének </w:t>
      </w:r>
    </w:p>
    <w:p w:rsidR="005D51B4" w:rsidRPr="00D71207" w:rsidRDefault="00CD6D32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 2025</w:t>
      </w:r>
      <w:r w:rsidR="005D51B4" w:rsidRPr="00D71207">
        <w:rPr>
          <w:b/>
        </w:rPr>
        <w:t xml:space="preserve">. </w:t>
      </w:r>
      <w:r w:rsidR="008B7A53">
        <w:rPr>
          <w:b/>
        </w:rPr>
        <w:t xml:space="preserve">szeptember </w:t>
      </w:r>
      <w:r w:rsidR="00E93E68">
        <w:rPr>
          <w:b/>
        </w:rPr>
        <w:t>18</w:t>
      </w:r>
      <w:r w:rsidR="005D51B4" w:rsidRPr="00D71207">
        <w:rPr>
          <w:b/>
        </w:rPr>
        <w:t>-</w:t>
      </w:r>
      <w:r w:rsidR="00E93E68">
        <w:rPr>
          <w:b/>
        </w:rPr>
        <w:t>á</w:t>
      </w:r>
      <w:r w:rsidR="005D51B4" w:rsidRPr="00D71207">
        <w:rPr>
          <w:b/>
        </w:rPr>
        <w:t>n tartandó nyilvános testületi ülésére.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 w:rsidRPr="00D71207">
        <w:rPr>
          <w:b/>
          <w:u w:val="single"/>
        </w:rPr>
        <w:t>Tárgy:</w:t>
      </w:r>
      <w:r w:rsidRPr="00D71207">
        <w:rPr>
          <w:b/>
        </w:rPr>
        <w:t xml:space="preserve"> </w:t>
      </w:r>
      <w:r w:rsidRPr="00D71207">
        <w:t xml:space="preserve"> </w:t>
      </w:r>
      <w:r w:rsidR="00D6491C">
        <w:t>Közművelődési rendelet felülvizsgálata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rPr>
          <w:b/>
          <w:u w:val="single"/>
        </w:rPr>
        <w:t>Előterjesztő</w:t>
      </w:r>
      <w:r w:rsidRPr="00D71207">
        <w:t xml:space="preserve">:    </w:t>
      </w:r>
      <w:r w:rsidR="008462E1">
        <w:t>Györffy Szabolcs Zoltán</w:t>
      </w:r>
      <w:r w:rsidR="006E6D67">
        <w:t xml:space="preserve"> </w:t>
      </w:r>
      <w:r w:rsidRPr="00D71207">
        <w:t>polgármester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rPr>
          <w:b/>
          <w:u w:val="single"/>
        </w:rPr>
        <w:t>Előkészítette:</w:t>
      </w:r>
      <w:r w:rsidRPr="00D71207">
        <w:t xml:space="preserve">  </w:t>
      </w:r>
      <w:r w:rsidR="006E6D67">
        <w:t>Nagy Éva, ügyintéző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t xml:space="preserve">  ---------------------------</w:t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  <w:t>Jogszabállyal nem ellentétes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t xml:space="preserve">         Előterjesztő</w:t>
      </w:r>
    </w:p>
    <w:p w:rsidR="005D51B4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  <w:t>-----------------------------------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D6491C">
        <w:t>dr. Szabó Tímea, jegyző</w:t>
      </w:r>
      <w:r>
        <w:t xml:space="preserve"> </w:t>
      </w:r>
    </w:p>
    <w:p w:rsidR="005D51B4" w:rsidRDefault="005D51B4" w:rsidP="005D51B4">
      <w:pPr>
        <w:outlineLvl w:val="0"/>
      </w:pP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</w:p>
    <w:p w:rsidR="005D51B4" w:rsidRDefault="005D51B4" w:rsidP="00B67C0C">
      <w:pPr>
        <w:outlineLvl w:val="0"/>
      </w:pPr>
    </w:p>
    <w:p w:rsidR="00B67C0C" w:rsidRDefault="00B67C0C" w:rsidP="00B67C0C">
      <w:pPr>
        <w:outlineLvl w:val="0"/>
      </w:pPr>
      <w:r>
        <w:t>Tisztelt Képviselő-testület!</w:t>
      </w:r>
    </w:p>
    <w:p w:rsidR="00CD6D32" w:rsidRDefault="00CD6D32" w:rsidP="00CD6D32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</w:p>
    <w:p w:rsidR="00CD6D32" w:rsidRDefault="00CD6D32" w:rsidP="00CD6D32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  <w:r w:rsidRPr="00396B88">
        <w:rPr>
          <w:bCs/>
          <w:iCs/>
          <w:spacing w:val="-5"/>
          <w:kern w:val="36"/>
        </w:rPr>
        <w:t>A</w:t>
      </w:r>
      <w:r w:rsidRPr="001C5647">
        <w:rPr>
          <w:bCs/>
          <w:iCs/>
          <w:spacing w:val="-5"/>
          <w:kern w:val="36"/>
        </w:rPr>
        <w:t xml:space="preserve"> muzeális intézményekről, a nyilvános könyvtári ellátásról és a közművelődésről</w:t>
      </w:r>
      <w:hyperlink r:id="rId7" w:anchor="lbj0id3a54" w:history="1"/>
      <w:r w:rsidRPr="00396B88">
        <w:rPr>
          <w:bCs/>
          <w:iCs/>
          <w:spacing w:val="-5"/>
          <w:kern w:val="36"/>
        </w:rPr>
        <w:t xml:space="preserve"> szóló 1997. évi CXL. törvény (továbbiakban: Kultv.) </w:t>
      </w:r>
      <w:r>
        <w:rPr>
          <w:bCs/>
          <w:iCs/>
          <w:spacing w:val="-5"/>
          <w:kern w:val="36"/>
        </w:rPr>
        <w:t>83/A.§ (2) bekezd</w:t>
      </w:r>
      <w:r w:rsidR="00E93E68">
        <w:rPr>
          <w:bCs/>
          <w:iCs/>
          <w:spacing w:val="-5"/>
          <w:kern w:val="36"/>
        </w:rPr>
        <w:t>é</w:t>
      </w:r>
      <w:r>
        <w:rPr>
          <w:bCs/>
          <w:iCs/>
          <w:spacing w:val="-5"/>
          <w:kern w:val="36"/>
        </w:rPr>
        <w:t xml:space="preserve">se alapján a települési önkormányzat a közművelődési rendeletét a – Közművelődési Kerekasztallal és a települési nemzetiségi önkormányzattal való egyeztetés keretében – legalább ötévente felülvizsgálja. </w:t>
      </w:r>
    </w:p>
    <w:p w:rsidR="00CD6D32" w:rsidRDefault="00CD6D32" w:rsidP="00CD6D32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</w:p>
    <w:p w:rsidR="00873B8C" w:rsidRDefault="00CD6D32" w:rsidP="00873B8C">
      <w:pPr>
        <w:shd w:val="clear" w:color="auto" w:fill="FFFFFF"/>
        <w:jc w:val="both"/>
        <w:outlineLvl w:val="0"/>
        <w:rPr>
          <w:shd w:val="clear" w:color="auto" w:fill="FFFFFF"/>
        </w:rPr>
      </w:pPr>
      <w:r>
        <w:rPr>
          <w:bCs/>
          <w:iCs/>
          <w:spacing w:val="-5"/>
          <w:kern w:val="36"/>
        </w:rPr>
        <w:t>A Kultv.</w:t>
      </w:r>
      <w:r w:rsidR="00873B8C" w:rsidRPr="00396B88">
        <w:rPr>
          <w:bCs/>
          <w:iCs/>
          <w:spacing w:val="-5"/>
          <w:kern w:val="36"/>
        </w:rPr>
        <w:t xml:space="preserve"> </w:t>
      </w:r>
      <w:r w:rsidR="00873B8C" w:rsidRPr="00396B88">
        <w:rPr>
          <w:bCs/>
          <w:shd w:val="clear" w:color="auto" w:fill="FFFFFF"/>
        </w:rPr>
        <w:t>76.</w:t>
      </w:r>
      <w:r w:rsidR="00873B8C" w:rsidRPr="00396B88">
        <w:rPr>
          <w:b/>
          <w:bCs/>
          <w:shd w:val="clear" w:color="auto" w:fill="FFFFFF"/>
        </w:rPr>
        <w:t xml:space="preserve"> </w:t>
      </w:r>
      <w:r w:rsidR="00873B8C" w:rsidRPr="00396B88">
        <w:rPr>
          <w:bCs/>
          <w:shd w:val="clear" w:color="auto" w:fill="FFFFFF"/>
        </w:rPr>
        <w:t>§</w:t>
      </w:r>
      <w:r w:rsidR="00873B8C">
        <w:rPr>
          <w:b/>
          <w:bCs/>
          <w:vertAlign w:val="superscript"/>
        </w:rPr>
        <w:t> </w:t>
      </w:r>
      <w:r w:rsidR="00873B8C" w:rsidRPr="00396B88">
        <w:rPr>
          <w:shd w:val="clear" w:color="auto" w:fill="FFFFFF"/>
        </w:rPr>
        <w:t xml:space="preserve">(1) </w:t>
      </w:r>
      <w:r w:rsidR="00873B8C">
        <w:rPr>
          <w:shd w:val="clear" w:color="auto" w:fill="FFFFFF"/>
        </w:rPr>
        <w:t>bekezdése alapján a</w:t>
      </w:r>
      <w:r w:rsidR="00873B8C" w:rsidRPr="00396B88">
        <w:rPr>
          <w:shd w:val="clear" w:color="auto" w:fill="FFFFFF"/>
        </w:rPr>
        <w:t xml:space="preserve"> települési önkormányzat </w:t>
      </w:r>
      <w:r w:rsidR="00873B8C" w:rsidRPr="00396B88">
        <w:rPr>
          <w:u w:val="single"/>
          <w:shd w:val="clear" w:color="auto" w:fill="FFFFFF"/>
        </w:rPr>
        <w:t>kötelező feladata a helyi közművelődési tevékenység támogatása</w:t>
      </w:r>
      <w:r w:rsidR="00873B8C" w:rsidRPr="00396B88">
        <w:rPr>
          <w:shd w:val="clear" w:color="auto" w:fill="FFFFFF"/>
        </w:rPr>
        <w:t>.</w:t>
      </w:r>
    </w:p>
    <w:p w:rsidR="00873B8C" w:rsidRPr="00396B88" w:rsidRDefault="00873B8C" w:rsidP="00873B8C">
      <w:pPr>
        <w:shd w:val="clear" w:color="auto" w:fill="FFFFFF"/>
        <w:jc w:val="both"/>
        <w:outlineLvl w:val="0"/>
        <w:rPr>
          <w:shd w:val="clear" w:color="auto" w:fill="FFFFFF"/>
        </w:rPr>
      </w:pPr>
      <w:r>
        <w:t xml:space="preserve">A Kutlv. 76. § </w:t>
      </w:r>
      <w:r w:rsidRPr="00396B88">
        <w:t>(2</w:t>
      </w:r>
      <w:r>
        <w:t>) bekezdése alapján a</w:t>
      </w:r>
      <w:r w:rsidRPr="00396B88">
        <w:t xml:space="preserve"> települési önkormányzat az (1) bekezdésben meghatározott </w:t>
      </w:r>
      <w:r w:rsidRPr="00396B88">
        <w:rPr>
          <w:u w:val="single"/>
        </w:rPr>
        <w:t>feladatát</w:t>
      </w:r>
      <w:r w:rsidRPr="00396B88">
        <w:t xml:space="preserve"> a (3) bekezdés szerinti </w:t>
      </w:r>
      <w:r w:rsidRPr="00396B88">
        <w:rPr>
          <w:u w:val="single"/>
        </w:rPr>
        <w:t>közművelődési alapszolgáltatások</w:t>
      </w:r>
      <w:r w:rsidRPr="00396B88">
        <w:t xml:space="preserve"> - a települési önkormányzat eltérő adottságaira figyelemmel történő - </w:t>
      </w:r>
      <w:r w:rsidRPr="00396B88">
        <w:rPr>
          <w:u w:val="single"/>
        </w:rPr>
        <w:t>megszervezése</w:t>
      </w:r>
      <w:r w:rsidRPr="00396B88">
        <w:t xml:space="preserve">, a 80. §-ban meghatározott </w:t>
      </w:r>
      <w:r w:rsidRPr="00396B88">
        <w:rPr>
          <w:u w:val="single"/>
        </w:rPr>
        <w:t>pénzügyi támogatás biztosítása</w:t>
      </w:r>
      <w:r w:rsidRPr="00396B88">
        <w:t xml:space="preserve">, valamint a közművelődés 82-83. §-ban </w:t>
      </w:r>
      <w:r w:rsidRPr="00396B88">
        <w:rPr>
          <w:u w:val="single"/>
        </w:rPr>
        <w:t>szabályozott helyi lakossági képviseletének biztosítása</w:t>
      </w:r>
      <w:r w:rsidRPr="00396B88">
        <w:t xml:space="preserve"> révén (a továbbiakban együtt: közművelődési feladatok) </w:t>
      </w:r>
      <w:r w:rsidRPr="00396B88">
        <w:rPr>
          <w:u w:val="single"/>
        </w:rPr>
        <w:t>látja el.</w:t>
      </w:r>
    </w:p>
    <w:p w:rsidR="00873B8C" w:rsidRPr="00396B88" w:rsidRDefault="00873B8C" w:rsidP="00873B8C">
      <w:pPr>
        <w:shd w:val="clear" w:color="auto" w:fill="FFFFFF"/>
        <w:jc w:val="both"/>
      </w:pPr>
      <w:r>
        <w:t xml:space="preserve">A Kultv. 76. § </w:t>
      </w:r>
      <w:r w:rsidRPr="00396B88">
        <w:t>(3)</w:t>
      </w:r>
      <w:r>
        <w:t xml:space="preserve"> bekezdése szerint a</w:t>
      </w:r>
      <w:r w:rsidRPr="00396B88">
        <w:t xml:space="preserve"> </w:t>
      </w:r>
      <w:r w:rsidRPr="00396B88">
        <w:rPr>
          <w:u w:val="single"/>
        </w:rPr>
        <w:t>közművelődési alapszolgáltatások</w:t>
      </w:r>
      <w:r w:rsidRPr="00396B88">
        <w:t>:</w:t>
      </w:r>
    </w:p>
    <w:p w:rsidR="00873B8C" w:rsidRPr="00396B88" w:rsidRDefault="00873B8C" w:rsidP="00873B8C">
      <w:pPr>
        <w:shd w:val="clear" w:color="auto" w:fill="FFFFFF"/>
        <w:jc w:val="both"/>
      </w:pPr>
      <w:r w:rsidRPr="00396B88">
        <w:rPr>
          <w:i/>
          <w:iCs/>
        </w:rPr>
        <w:t>a) </w:t>
      </w:r>
      <w:r w:rsidRPr="00396B88">
        <w:t>művelődő közösségek létrejöttének elősegítése, működésük támogatása, fejlődésük segítése, a közművelődési tevékenységek és a művelődő közösségek számára helyszín biztosítása,</w:t>
      </w:r>
    </w:p>
    <w:p w:rsidR="00873B8C" w:rsidRPr="00396B88" w:rsidRDefault="00873B8C" w:rsidP="00873B8C">
      <w:pPr>
        <w:shd w:val="clear" w:color="auto" w:fill="FFFFFF"/>
        <w:jc w:val="both"/>
      </w:pPr>
      <w:r w:rsidRPr="00396B88">
        <w:rPr>
          <w:i/>
          <w:iCs/>
        </w:rPr>
        <w:t>b) </w:t>
      </w:r>
      <w:r w:rsidRPr="00396B88">
        <w:t>a közösségi és társadalmi részvétel fejlesztése,</w:t>
      </w:r>
    </w:p>
    <w:p w:rsidR="00873B8C" w:rsidRPr="00396B88" w:rsidRDefault="00873B8C" w:rsidP="00873B8C">
      <w:pPr>
        <w:shd w:val="clear" w:color="auto" w:fill="FFFFFF"/>
        <w:jc w:val="both"/>
      </w:pPr>
      <w:r w:rsidRPr="00396B88">
        <w:rPr>
          <w:i/>
          <w:iCs/>
        </w:rPr>
        <w:t>c) </w:t>
      </w:r>
      <w:r w:rsidRPr="00396B88">
        <w:t>az egész életre kiterjedő tanulás feltételeinek biztosítása,</w:t>
      </w:r>
    </w:p>
    <w:p w:rsidR="00873B8C" w:rsidRPr="00396B88" w:rsidRDefault="00873B8C" w:rsidP="00873B8C">
      <w:pPr>
        <w:shd w:val="clear" w:color="auto" w:fill="FFFFFF"/>
        <w:jc w:val="both"/>
      </w:pPr>
      <w:r w:rsidRPr="00396B88">
        <w:rPr>
          <w:i/>
          <w:iCs/>
        </w:rPr>
        <w:t>d) </w:t>
      </w:r>
      <w:r w:rsidRPr="00396B88">
        <w:t>a hagyományos közösségi kulturális értékek átörökítése feltételeinek biztosítása,</w:t>
      </w:r>
    </w:p>
    <w:p w:rsidR="00873B8C" w:rsidRPr="00396B88" w:rsidRDefault="00873B8C" w:rsidP="00873B8C">
      <w:pPr>
        <w:shd w:val="clear" w:color="auto" w:fill="FFFFFF"/>
        <w:jc w:val="both"/>
      </w:pPr>
      <w:r w:rsidRPr="00396B88">
        <w:rPr>
          <w:i/>
          <w:iCs/>
        </w:rPr>
        <w:t>e) </w:t>
      </w:r>
      <w:r w:rsidRPr="00396B88">
        <w:t>az amatőr alkotó- és előadó-művészeti tevékenység feltételeinek biztosítása,</w:t>
      </w:r>
    </w:p>
    <w:p w:rsidR="00873B8C" w:rsidRPr="00396B88" w:rsidRDefault="00873B8C" w:rsidP="00873B8C">
      <w:pPr>
        <w:shd w:val="clear" w:color="auto" w:fill="FFFFFF"/>
        <w:jc w:val="both"/>
      </w:pPr>
      <w:r w:rsidRPr="00396B88">
        <w:rPr>
          <w:i/>
          <w:iCs/>
        </w:rPr>
        <w:t>f) </w:t>
      </w:r>
      <w:r w:rsidRPr="00396B88">
        <w:t>a tehetséggondozás- és -fejlesztés feltételeinek biztosítása, valamint</w:t>
      </w:r>
    </w:p>
    <w:p w:rsidR="00873B8C" w:rsidRPr="00396B88" w:rsidRDefault="00873B8C" w:rsidP="00873B8C">
      <w:pPr>
        <w:shd w:val="clear" w:color="auto" w:fill="FFFFFF"/>
        <w:jc w:val="both"/>
      </w:pPr>
      <w:r w:rsidRPr="00396B88">
        <w:rPr>
          <w:i/>
          <w:iCs/>
        </w:rPr>
        <w:t>g) </w:t>
      </w:r>
      <w:r w:rsidRPr="00396B88">
        <w:t>a kulturális alapú gazdaságfejlesztés.</w:t>
      </w:r>
    </w:p>
    <w:p w:rsidR="00873B8C" w:rsidRPr="00396B88" w:rsidRDefault="00873B8C" w:rsidP="00873B8C">
      <w:pPr>
        <w:shd w:val="clear" w:color="auto" w:fill="FFFFFF"/>
        <w:jc w:val="both"/>
      </w:pPr>
      <w:r>
        <w:t xml:space="preserve">A Kultv. 76. § </w:t>
      </w:r>
      <w:r w:rsidRPr="00396B88">
        <w:t>(4</w:t>
      </w:r>
      <w:r>
        <w:t>) bekezdése alapján m</w:t>
      </w:r>
      <w:r w:rsidRPr="00396B88">
        <w:t>inden települési önkormányzat kötelező feladata a (3) bekezdés </w:t>
      </w:r>
      <w:r w:rsidRPr="00396B88">
        <w:rPr>
          <w:i/>
          <w:iCs/>
        </w:rPr>
        <w:t>a) </w:t>
      </w:r>
      <w:r w:rsidRPr="00396B88">
        <w:t>pontja szerinti közművelődési alapszolgáltatás megszervezése. Ennek keretében</w:t>
      </w:r>
    </w:p>
    <w:p w:rsidR="00873B8C" w:rsidRPr="00396B88" w:rsidRDefault="00873B8C" w:rsidP="00873B8C">
      <w:pPr>
        <w:shd w:val="clear" w:color="auto" w:fill="FFFFFF"/>
        <w:jc w:val="both"/>
      </w:pPr>
      <w:r w:rsidRPr="00396B88">
        <w:rPr>
          <w:i/>
          <w:iCs/>
        </w:rPr>
        <w:t>a) </w:t>
      </w:r>
      <w:r w:rsidRPr="00396B88">
        <w:t>a művelődő közösségnek rendszeres és alkalomszerű művelődési vagy közösségi tevékenysége végzésének helyszínét biztosítja,</w:t>
      </w:r>
    </w:p>
    <w:p w:rsidR="00873B8C" w:rsidRPr="00396B88" w:rsidRDefault="00873B8C" w:rsidP="00873B8C">
      <w:pPr>
        <w:shd w:val="clear" w:color="auto" w:fill="FFFFFF"/>
        <w:jc w:val="both"/>
      </w:pPr>
      <w:r w:rsidRPr="00396B88">
        <w:rPr>
          <w:i/>
          <w:iCs/>
        </w:rPr>
        <w:t>b) </w:t>
      </w:r>
      <w:r w:rsidRPr="00396B88">
        <w:t>a művelődő közösség számára bemutatkozási lehetőségeket teremt,</w:t>
      </w:r>
    </w:p>
    <w:p w:rsidR="00873B8C" w:rsidRPr="00396B88" w:rsidRDefault="00873B8C" w:rsidP="00873B8C">
      <w:pPr>
        <w:shd w:val="clear" w:color="auto" w:fill="FFFFFF"/>
        <w:jc w:val="both"/>
      </w:pPr>
      <w:r w:rsidRPr="00396B88">
        <w:rPr>
          <w:i/>
          <w:iCs/>
        </w:rPr>
        <w:t>c) </w:t>
      </w:r>
      <w:r w:rsidRPr="00396B88">
        <w:t>fórumot szervez - ha az adott településen működik - a Közművelődési Kerekasztal bevonásával, a művelődő közösségek vezetőinek részvételével, ahol a művelődő közösségek megfogalmazhatják a feladatellátással kapcsolatos észrevételeiket, javaslataikat.</w:t>
      </w:r>
    </w:p>
    <w:p w:rsidR="00873B8C" w:rsidRPr="00396B88" w:rsidRDefault="00873B8C" w:rsidP="00873B8C">
      <w:pPr>
        <w:shd w:val="clear" w:color="auto" w:fill="FFFFFF"/>
        <w:jc w:val="both"/>
        <w:outlineLvl w:val="0"/>
        <w:rPr>
          <w:shd w:val="clear" w:color="auto" w:fill="FFFFFF"/>
        </w:rPr>
      </w:pPr>
      <w:r w:rsidRPr="00396B88">
        <w:rPr>
          <w:bCs/>
          <w:shd w:val="clear" w:color="auto" w:fill="FFFFFF"/>
        </w:rPr>
        <w:t>A Kultv. 77. § (1) bekezdése alapján</w:t>
      </w:r>
      <w:r>
        <w:rPr>
          <w:shd w:val="clear" w:color="auto" w:fill="FFFFFF"/>
        </w:rPr>
        <w:t xml:space="preserve"> a</w:t>
      </w:r>
      <w:r w:rsidRPr="00396B88">
        <w:rPr>
          <w:shd w:val="clear" w:color="auto" w:fill="FFFFFF"/>
        </w:rPr>
        <w:t xml:space="preserve"> települési önkormányzat a közművelődési alapszolgáltatások folyamatos hozzáférhetősége érdekében, a 78/I. § (1) bekezdésében foglaltaknak megfelelően </w:t>
      </w:r>
      <w:r w:rsidRPr="00FC0CE1">
        <w:rPr>
          <w:u w:val="single"/>
          <w:shd w:val="clear" w:color="auto" w:fill="FFFFFF"/>
        </w:rPr>
        <w:t>közösségi színteret, illetve közművelődési intézményt biztosít</w:t>
      </w:r>
      <w:r w:rsidRPr="00396B88">
        <w:rPr>
          <w:shd w:val="clear" w:color="auto" w:fill="FFFFFF"/>
        </w:rPr>
        <w:t>.</w:t>
      </w:r>
    </w:p>
    <w:p w:rsidR="00873B8C" w:rsidRPr="00396B88" w:rsidRDefault="00873B8C" w:rsidP="00873B8C">
      <w:pPr>
        <w:shd w:val="clear" w:color="auto" w:fill="FFFFFF"/>
        <w:jc w:val="both"/>
      </w:pPr>
      <w:r w:rsidRPr="00396B88">
        <w:rPr>
          <w:bCs/>
        </w:rPr>
        <w:lastRenderedPageBreak/>
        <w:t>A Kultv. 78/H. §</w:t>
      </w:r>
      <w:hyperlink r:id="rId8" w:anchor="lbj220id3a54" w:history="1">
        <w:r w:rsidRPr="00396B88">
          <w:rPr>
            <w:bCs/>
            <w:vertAlign w:val="superscript"/>
          </w:rPr>
          <w:t>  </w:t>
        </w:r>
      </w:hyperlink>
      <w:r w:rsidRPr="00396B88">
        <w:rPr>
          <w:bCs/>
        </w:rPr>
        <w:t> </w:t>
      </w:r>
      <w:r w:rsidRPr="00396B88">
        <w:t>(1)</w:t>
      </w:r>
      <w:r>
        <w:t xml:space="preserve"> bekezdése szerint a</w:t>
      </w:r>
      <w:r w:rsidRPr="00396B88">
        <w:t xml:space="preserve"> </w:t>
      </w:r>
      <w:r w:rsidRPr="00396B88">
        <w:rPr>
          <w:u w:val="single"/>
        </w:rPr>
        <w:t>közösségi színtér</w:t>
      </w:r>
      <w:r w:rsidRPr="00396B88">
        <w:t xml:space="preserve"> a települési, kerületi közösségi művelődés szervezése, a közművelődési alapszolgáltatások biztosítása érdekében fenntartott, működtetett vagy erre a célra alkalmassá tett és üzemeltetett, adott helyen rendszeresen működő, jogi személyiséggel nem rendelkező intézmény vagy egyéb létesítmény, helyiségegyüttes, épület.</w:t>
      </w:r>
    </w:p>
    <w:p w:rsidR="00873B8C" w:rsidRPr="00396B88" w:rsidRDefault="00873B8C" w:rsidP="00873B8C">
      <w:pPr>
        <w:shd w:val="clear" w:color="auto" w:fill="FFFFFF"/>
        <w:jc w:val="both"/>
      </w:pPr>
      <w:r>
        <w:t xml:space="preserve">Kultv. 78/H. § </w:t>
      </w:r>
      <w:r w:rsidRPr="00396B88">
        <w:t>(2)</w:t>
      </w:r>
      <w:r>
        <w:t xml:space="preserve"> bekezdése szerint a</w:t>
      </w:r>
      <w:r w:rsidRPr="00396B88">
        <w:t xml:space="preserve"> </w:t>
      </w:r>
      <w:r w:rsidRPr="00396B88">
        <w:rPr>
          <w:u w:val="single"/>
        </w:rPr>
        <w:t>közösségi színtér formái</w:t>
      </w:r>
      <w:r w:rsidRPr="00396B88">
        <w:t>:</w:t>
      </w:r>
    </w:p>
    <w:p w:rsidR="00873B8C" w:rsidRPr="00396B88" w:rsidRDefault="00873B8C" w:rsidP="00873B8C">
      <w:pPr>
        <w:shd w:val="clear" w:color="auto" w:fill="FFFFFF"/>
      </w:pPr>
      <w:r w:rsidRPr="00396B88">
        <w:rPr>
          <w:i/>
          <w:iCs/>
        </w:rPr>
        <w:t>a) </w:t>
      </w:r>
      <w:r w:rsidRPr="00396B88">
        <w:t>a kizárólag közművelődési alapszolgáltatások megszervezésének helyszínt biztosító közösségi színtér vagy</w:t>
      </w:r>
    </w:p>
    <w:p w:rsidR="00CD6D32" w:rsidRDefault="00CD6D32" w:rsidP="00CD6D32">
      <w:pPr>
        <w:shd w:val="clear" w:color="auto" w:fill="FFFFFF"/>
        <w:jc w:val="both"/>
      </w:pPr>
      <w:r w:rsidRPr="00396B88">
        <w:rPr>
          <w:i/>
          <w:iCs/>
        </w:rPr>
        <w:t>b) </w:t>
      </w:r>
      <w:r w:rsidRPr="00396B88">
        <w:t>a közművelődési alapszolgáltatások mellett egyéb te</w:t>
      </w:r>
      <w:r>
        <w:t>vékenységeknek, szolgáltatások m</w:t>
      </w:r>
      <w:r w:rsidRPr="00396B88">
        <w:t>egszervezésének is helyszínt biztosító integrált közösségi és szolgáltató tér.</w:t>
      </w:r>
    </w:p>
    <w:p w:rsidR="00CD6D32" w:rsidRDefault="00CD6D32" w:rsidP="00CD6D32">
      <w:pPr>
        <w:shd w:val="clear" w:color="auto" w:fill="FFFFFF"/>
        <w:jc w:val="both"/>
      </w:pPr>
    </w:p>
    <w:p w:rsidR="00E93E68" w:rsidRDefault="00E93E68" w:rsidP="00E93E68">
      <w:pPr>
        <w:jc w:val="both"/>
        <w:outlineLvl w:val="0"/>
      </w:pPr>
      <w:r>
        <w:t xml:space="preserve">Köveskál Község Önkormányzata 2020 évben alkotta meg a helyi közművelődési feladatok ellátásról szóló 14/2020. (X.13.) önkormányzati rendeletét. A rendelet megalkotása óta az Önkormányzati feladat ellátásban sem pedig a jogszabályi környezetben nem történt változás, ezért a rendelet módosítása nem indokolt. </w:t>
      </w:r>
    </w:p>
    <w:p w:rsidR="00E93E68" w:rsidRDefault="00E93E68" w:rsidP="00E93E68">
      <w:pPr>
        <w:shd w:val="clear" w:color="auto" w:fill="FFFFFF"/>
      </w:pPr>
    </w:p>
    <w:p w:rsidR="00CD6D32" w:rsidRDefault="00CD6D32" w:rsidP="00CD6D32">
      <w:pPr>
        <w:shd w:val="clear" w:color="auto" w:fill="FFFFFF"/>
        <w:jc w:val="center"/>
      </w:pPr>
      <w:r>
        <w:t>KÖVESKÁL KÖZSÉG ÖNKORMÁNYZATA KÉPVISELŐ-TESTÜLETÉNEK</w:t>
      </w:r>
    </w:p>
    <w:p w:rsidR="00CD6D32" w:rsidRDefault="00CD6D32" w:rsidP="00CD6D32">
      <w:pPr>
        <w:shd w:val="clear" w:color="auto" w:fill="FFFFFF"/>
        <w:jc w:val="center"/>
      </w:pPr>
    </w:p>
    <w:p w:rsidR="00CD6D32" w:rsidRDefault="00CD6D32" w:rsidP="00CD6D32">
      <w:pPr>
        <w:shd w:val="clear" w:color="auto" w:fill="FFFFFF"/>
        <w:jc w:val="center"/>
      </w:pPr>
      <w:r>
        <w:t>…./2025. HATÁROZATA</w:t>
      </w:r>
    </w:p>
    <w:p w:rsidR="00CD6D32" w:rsidRDefault="00CD6D32" w:rsidP="00CD6D32">
      <w:pPr>
        <w:shd w:val="clear" w:color="auto" w:fill="FFFFFF"/>
        <w:jc w:val="center"/>
      </w:pPr>
    </w:p>
    <w:p w:rsidR="00CD6D32" w:rsidRDefault="00CD6D32" w:rsidP="00CD6D32">
      <w:pPr>
        <w:shd w:val="clear" w:color="auto" w:fill="FFFFFF"/>
        <w:jc w:val="center"/>
      </w:pPr>
      <w:r>
        <w:t>Közművelődési rendelet felülvizsgálatáról</w:t>
      </w:r>
    </w:p>
    <w:p w:rsidR="00C7336D" w:rsidRDefault="00C7336D" w:rsidP="00AA3E6B">
      <w:pPr>
        <w:jc w:val="both"/>
        <w:rPr>
          <w:b/>
          <w:bCs/>
          <w:bdr w:val="none" w:sz="0" w:space="0" w:color="auto" w:frame="1"/>
        </w:rPr>
      </w:pPr>
    </w:p>
    <w:p w:rsidR="00E93E68" w:rsidRDefault="00E93E68" w:rsidP="00E93E68">
      <w:pPr>
        <w:jc w:val="both"/>
        <w:outlineLvl w:val="0"/>
      </w:pPr>
      <w:r>
        <w:t xml:space="preserve">Köveskál Község Önkormányzata Képviselő-testülete a helyi közművelődési feladatok ellátásról szóló 14/2020. (X.13) önkormányzati rendelete felülvizsgálata eredményeképpen megállapította, hogy a rendelet módosítása nem indokolt. </w:t>
      </w:r>
    </w:p>
    <w:p w:rsidR="00E93E68" w:rsidRDefault="00E93E68" w:rsidP="00E93E68">
      <w:pPr>
        <w:jc w:val="both"/>
        <w:outlineLvl w:val="0"/>
      </w:pPr>
    </w:p>
    <w:p w:rsidR="00E93E68" w:rsidRDefault="00E93E68" w:rsidP="00AA3E6B">
      <w:pPr>
        <w:jc w:val="both"/>
      </w:pPr>
    </w:p>
    <w:sectPr w:rsidR="00E93E68" w:rsidSect="00AA3E6B">
      <w:pgSz w:w="11906" w:h="16838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5CAA" w:rsidRDefault="00E65CAA" w:rsidP="00B67C0C">
      <w:r>
        <w:separator/>
      </w:r>
    </w:p>
  </w:endnote>
  <w:endnote w:type="continuationSeparator" w:id="0">
    <w:p w:rsidR="00E65CAA" w:rsidRDefault="00E65CAA" w:rsidP="00B6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5CAA" w:rsidRDefault="00E65CAA" w:rsidP="00B67C0C">
      <w:r>
        <w:separator/>
      </w:r>
    </w:p>
  </w:footnote>
  <w:footnote w:type="continuationSeparator" w:id="0">
    <w:p w:rsidR="00E65CAA" w:rsidRDefault="00E65CAA" w:rsidP="00B67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055A"/>
    <w:multiLevelType w:val="hybridMultilevel"/>
    <w:tmpl w:val="CACA3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EC70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912A9"/>
    <w:multiLevelType w:val="hybridMultilevel"/>
    <w:tmpl w:val="E77C3EAE"/>
    <w:lvl w:ilvl="0" w:tplc="34121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0353A"/>
    <w:multiLevelType w:val="hybridMultilevel"/>
    <w:tmpl w:val="9886C32C"/>
    <w:lvl w:ilvl="0" w:tplc="7070F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815C4"/>
    <w:multiLevelType w:val="hybridMultilevel"/>
    <w:tmpl w:val="14905F60"/>
    <w:lvl w:ilvl="0" w:tplc="7DC434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E3DE9"/>
    <w:multiLevelType w:val="hybridMultilevel"/>
    <w:tmpl w:val="8DA21FF4"/>
    <w:lvl w:ilvl="0" w:tplc="D7A684D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0C70136"/>
    <w:multiLevelType w:val="hybridMultilevel"/>
    <w:tmpl w:val="CA7A6608"/>
    <w:lvl w:ilvl="0" w:tplc="D7A68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1B3DAF"/>
    <w:multiLevelType w:val="hybridMultilevel"/>
    <w:tmpl w:val="EDCC50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C5E0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F007C"/>
    <w:multiLevelType w:val="hybridMultilevel"/>
    <w:tmpl w:val="DA16376E"/>
    <w:lvl w:ilvl="0" w:tplc="B4300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5E2ED9"/>
    <w:multiLevelType w:val="hybridMultilevel"/>
    <w:tmpl w:val="0068089E"/>
    <w:lvl w:ilvl="0" w:tplc="F004659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F14C4"/>
    <w:multiLevelType w:val="hybridMultilevel"/>
    <w:tmpl w:val="8E6643B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94207">
    <w:abstractNumId w:val="0"/>
  </w:num>
  <w:num w:numId="2" w16cid:durableId="1902321892">
    <w:abstractNumId w:val="7"/>
  </w:num>
  <w:num w:numId="3" w16cid:durableId="1936744725">
    <w:abstractNumId w:val="2"/>
  </w:num>
  <w:num w:numId="4" w16cid:durableId="666445160">
    <w:abstractNumId w:val="1"/>
  </w:num>
  <w:num w:numId="5" w16cid:durableId="419763952">
    <w:abstractNumId w:val="5"/>
  </w:num>
  <w:num w:numId="6" w16cid:durableId="654648285">
    <w:abstractNumId w:val="4"/>
  </w:num>
  <w:num w:numId="7" w16cid:durableId="1757438831">
    <w:abstractNumId w:val="8"/>
  </w:num>
  <w:num w:numId="8" w16cid:durableId="1699311934">
    <w:abstractNumId w:val="9"/>
  </w:num>
  <w:num w:numId="9" w16cid:durableId="548952827">
    <w:abstractNumId w:val="3"/>
  </w:num>
  <w:num w:numId="10" w16cid:durableId="1265923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0C"/>
    <w:rsid w:val="0001124D"/>
    <w:rsid w:val="000436E8"/>
    <w:rsid w:val="000D3903"/>
    <w:rsid w:val="000D450C"/>
    <w:rsid w:val="00101C48"/>
    <w:rsid w:val="00152AEF"/>
    <w:rsid w:val="001B69B6"/>
    <w:rsid w:val="002100E4"/>
    <w:rsid w:val="00213D14"/>
    <w:rsid w:val="00356BBD"/>
    <w:rsid w:val="003B6BB9"/>
    <w:rsid w:val="004B2F7C"/>
    <w:rsid w:val="005446BB"/>
    <w:rsid w:val="005606D5"/>
    <w:rsid w:val="005A1914"/>
    <w:rsid w:val="005B1470"/>
    <w:rsid w:val="005D0614"/>
    <w:rsid w:val="005D51B4"/>
    <w:rsid w:val="005E5443"/>
    <w:rsid w:val="006057E7"/>
    <w:rsid w:val="006D2955"/>
    <w:rsid w:val="006E6D67"/>
    <w:rsid w:val="006F5C9E"/>
    <w:rsid w:val="00742125"/>
    <w:rsid w:val="00756B5F"/>
    <w:rsid w:val="00816B99"/>
    <w:rsid w:val="008462E1"/>
    <w:rsid w:val="00873B8C"/>
    <w:rsid w:val="008B7A53"/>
    <w:rsid w:val="008E3D67"/>
    <w:rsid w:val="0090243F"/>
    <w:rsid w:val="00931827"/>
    <w:rsid w:val="00931A06"/>
    <w:rsid w:val="009B69C6"/>
    <w:rsid w:val="00A1105E"/>
    <w:rsid w:val="00A13F50"/>
    <w:rsid w:val="00AA3E6B"/>
    <w:rsid w:val="00AF7FDC"/>
    <w:rsid w:val="00B65510"/>
    <w:rsid w:val="00B67C0C"/>
    <w:rsid w:val="00BA3547"/>
    <w:rsid w:val="00BE17BA"/>
    <w:rsid w:val="00C02D76"/>
    <w:rsid w:val="00C7336D"/>
    <w:rsid w:val="00CA79B0"/>
    <w:rsid w:val="00CD6D32"/>
    <w:rsid w:val="00CF265B"/>
    <w:rsid w:val="00D6491C"/>
    <w:rsid w:val="00DC14F2"/>
    <w:rsid w:val="00E44556"/>
    <w:rsid w:val="00E65CAA"/>
    <w:rsid w:val="00E86736"/>
    <w:rsid w:val="00E93E68"/>
    <w:rsid w:val="00EE611E"/>
    <w:rsid w:val="00F00721"/>
    <w:rsid w:val="00F6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291A"/>
  <w15:chartTrackingRefBased/>
  <w15:docId w15:val="{49009F87-9936-4742-8FCD-9A2A1337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67C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67C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7C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7C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9B69C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B69C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9B69C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057E7"/>
    <w:pPr>
      <w:ind w:left="720"/>
      <w:contextualSpacing/>
    </w:pPr>
  </w:style>
  <w:style w:type="paragraph" w:styleId="NormlWeb">
    <w:name w:val="Normal (Web)"/>
    <w:basedOn w:val="Norml"/>
    <w:rsid w:val="008462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99700140.T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99700140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573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Tímea Csík</cp:lastModifiedBy>
  <cp:revision>23</cp:revision>
  <dcterms:created xsi:type="dcterms:W3CDTF">2019-10-11T11:22:00Z</dcterms:created>
  <dcterms:modified xsi:type="dcterms:W3CDTF">2025-09-12T10:39:00Z</dcterms:modified>
</cp:coreProperties>
</file>