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37" w:rsidRPr="0067306D" w:rsidRDefault="000A65C8" w:rsidP="00BA1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</w:rPr>
      </w:pPr>
      <w:bookmarkStart w:id="0" w:name="_GoBack"/>
      <w:bookmarkEnd w:id="0"/>
      <w:r>
        <w:rPr>
          <w:b/>
        </w:rPr>
        <w:t xml:space="preserve">2. </w:t>
      </w:r>
      <w:r w:rsidR="00BA1337" w:rsidRPr="0067306D">
        <w:rPr>
          <w:b/>
        </w:rPr>
        <w:t xml:space="preserve"> napirend</w:t>
      </w:r>
    </w:p>
    <w:p w:rsidR="00BA1337" w:rsidRPr="0067306D" w:rsidRDefault="00BA1337" w:rsidP="00BA1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ab/>
      </w:r>
      <w:r>
        <w:rPr>
          <w:rFonts w:ascii="Bodoni MT" w:hAnsi="Bodoni MT"/>
          <w:b/>
          <w:sz w:val="28"/>
          <w:szCs w:val="28"/>
        </w:rPr>
        <w:tab/>
      </w:r>
      <w:r w:rsidRPr="0067306D">
        <w:rPr>
          <w:rFonts w:ascii="Bodoni MT" w:hAnsi="Bodoni MT"/>
          <w:b/>
          <w:sz w:val="28"/>
          <w:szCs w:val="28"/>
        </w:rPr>
        <w:t xml:space="preserve">E l </w:t>
      </w:r>
      <w:r w:rsidRPr="0067306D">
        <w:rPr>
          <w:b/>
          <w:sz w:val="28"/>
          <w:szCs w:val="28"/>
        </w:rPr>
        <w:t>ő t e r j e s z t é s</w:t>
      </w:r>
    </w:p>
    <w:p w:rsidR="00BA1337" w:rsidRPr="0067306D" w:rsidRDefault="00017440" w:rsidP="00BA1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>Köveskál</w:t>
      </w:r>
      <w:r w:rsidR="00BA1337">
        <w:rPr>
          <w:b/>
        </w:rPr>
        <w:t xml:space="preserve"> </w:t>
      </w:r>
      <w:r w:rsidR="00BA1337" w:rsidRPr="0067306D">
        <w:rPr>
          <w:b/>
        </w:rPr>
        <w:t>Község Önkormányzata Képviselő-testületének                                                               201</w:t>
      </w:r>
      <w:r w:rsidR="003F0BCD">
        <w:rPr>
          <w:b/>
        </w:rPr>
        <w:t>9</w:t>
      </w:r>
      <w:r w:rsidR="00BA1337" w:rsidRPr="0067306D">
        <w:rPr>
          <w:b/>
        </w:rPr>
        <w:t xml:space="preserve">. </w:t>
      </w:r>
      <w:r w:rsidR="00F37DC4">
        <w:rPr>
          <w:b/>
        </w:rPr>
        <w:t xml:space="preserve">november </w:t>
      </w:r>
      <w:r w:rsidR="00AF18BE">
        <w:rPr>
          <w:b/>
        </w:rPr>
        <w:t>22</w:t>
      </w:r>
      <w:r w:rsidR="00BA1337">
        <w:rPr>
          <w:b/>
        </w:rPr>
        <w:t>-</w:t>
      </w:r>
      <w:r w:rsidR="00AF18BE">
        <w:rPr>
          <w:b/>
        </w:rPr>
        <w:t>é</w:t>
      </w:r>
      <w:r w:rsidR="00F37DC4">
        <w:rPr>
          <w:b/>
        </w:rPr>
        <w:t>n</w:t>
      </w:r>
      <w:r w:rsidR="00BA1337" w:rsidRPr="0067306D">
        <w:rPr>
          <w:b/>
        </w:rPr>
        <w:t xml:space="preserve"> tartandó ülésére</w:t>
      </w:r>
    </w:p>
    <w:p w:rsidR="00BA1337" w:rsidRPr="0067306D" w:rsidRDefault="00BA1337" w:rsidP="00BA1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:rsidR="00BA1337" w:rsidRPr="00477252" w:rsidRDefault="00BA1337" w:rsidP="00BA1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both"/>
      </w:pPr>
      <w:r w:rsidRPr="0067306D">
        <w:rPr>
          <w:b/>
          <w:u w:val="single"/>
        </w:rPr>
        <w:t>Tárgy:</w:t>
      </w:r>
      <w:r w:rsidRPr="0067306D">
        <w:rPr>
          <w:b/>
        </w:rPr>
        <w:tab/>
      </w:r>
      <w:r>
        <w:rPr>
          <w:b/>
        </w:rPr>
        <w:t xml:space="preserve"> </w:t>
      </w:r>
      <w:r w:rsidR="00814667" w:rsidRPr="00814667">
        <w:t>a helyi</w:t>
      </w:r>
      <w:r w:rsidR="00814667">
        <w:rPr>
          <w:b/>
        </w:rPr>
        <w:t xml:space="preserve"> </w:t>
      </w:r>
      <w:r w:rsidR="00477252" w:rsidRPr="00477252">
        <w:t>adókról szóló önkormányzati rendelet módosítása</w:t>
      </w:r>
    </w:p>
    <w:p w:rsidR="00BA1337" w:rsidRPr="0067306D" w:rsidRDefault="00BA1337" w:rsidP="00BA1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Előterjesztő:</w:t>
      </w:r>
      <w:r w:rsidRPr="0067306D">
        <w:rPr>
          <w:b/>
        </w:rPr>
        <w:tab/>
      </w:r>
      <w:r w:rsidR="003F0BCD">
        <w:rPr>
          <w:b/>
        </w:rPr>
        <w:t xml:space="preserve"> </w:t>
      </w:r>
      <w:r w:rsidR="003F0BCD" w:rsidRPr="003F0BCD">
        <w:rPr>
          <w:bCs/>
        </w:rPr>
        <w:t>Györffy Szabolcs Zoltán</w:t>
      </w:r>
      <w:r w:rsidRPr="003F0BCD">
        <w:rPr>
          <w:bCs/>
        </w:rPr>
        <w:t xml:space="preserve"> polgármester</w:t>
      </w:r>
    </w:p>
    <w:p w:rsidR="00BA1337" w:rsidRDefault="00BA1337" w:rsidP="00BA1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Előkészítette:</w:t>
      </w:r>
      <w:r w:rsidRPr="0067306D">
        <w:tab/>
      </w:r>
      <w:r w:rsidR="00C222A7">
        <w:t xml:space="preserve"> Dr. </w:t>
      </w:r>
      <w:r w:rsidR="00477252">
        <w:t>Takács Katalin igazgatási csoportvezető</w:t>
      </w:r>
      <w:r>
        <w:t xml:space="preserve"> </w:t>
      </w:r>
    </w:p>
    <w:p w:rsidR="004919A7" w:rsidRDefault="004919A7" w:rsidP="00BA1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ab/>
      </w:r>
      <w:r>
        <w:tab/>
        <w:t xml:space="preserve"> Pálffi Béláné </w:t>
      </w:r>
      <w:r w:rsidR="009F2703">
        <w:t xml:space="preserve">adóügyi </w:t>
      </w:r>
      <w:r>
        <w:t>ügyintéző</w:t>
      </w:r>
    </w:p>
    <w:p w:rsidR="00BA1337" w:rsidRDefault="00BA1337" w:rsidP="00BA1337">
      <w:pPr>
        <w:rPr>
          <w:b/>
        </w:rPr>
      </w:pPr>
    </w:p>
    <w:p w:rsidR="009F2703" w:rsidRDefault="009F2703" w:rsidP="00BA1337">
      <w:pPr>
        <w:rPr>
          <w:b/>
        </w:rPr>
      </w:pPr>
    </w:p>
    <w:p w:rsidR="00BA1337" w:rsidRPr="00862AC8" w:rsidRDefault="00BA1337" w:rsidP="00BA1337">
      <w:pPr>
        <w:rPr>
          <w:b/>
        </w:rPr>
      </w:pPr>
      <w:r w:rsidRPr="00862AC8">
        <w:rPr>
          <w:b/>
        </w:rPr>
        <w:t>Tisztelt Képviselő-testület!</w:t>
      </w:r>
    </w:p>
    <w:p w:rsidR="00FB6F0C" w:rsidRDefault="00FB6F0C" w:rsidP="00733588">
      <w:pPr>
        <w:jc w:val="both"/>
      </w:pPr>
    </w:p>
    <w:p w:rsidR="00BA1337" w:rsidRDefault="0001745B" w:rsidP="00BA1337">
      <w:pPr>
        <w:jc w:val="both"/>
      </w:pPr>
      <w:r>
        <w:t>Köveskál</w:t>
      </w:r>
      <w:r w:rsidR="00BA1337">
        <w:t xml:space="preserve"> Község Önkormányzata Képviselő-testülete a helyi adókról szóló </w:t>
      </w:r>
      <w:r>
        <w:t>8</w:t>
      </w:r>
      <w:r w:rsidR="00BA1337">
        <w:t>/201</w:t>
      </w:r>
      <w:r>
        <w:t>4</w:t>
      </w:r>
      <w:r w:rsidR="00BA1337">
        <w:t>. (X.</w:t>
      </w:r>
      <w:r>
        <w:t>13</w:t>
      </w:r>
      <w:r w:rsidR="00BA1337">
        <w:t xml:space="preserve">.) önkormányzati rendeletével (a továbbiakban: Rendelet) </w:t>
      </w:r>
      <w:r w:rsidR="00BA1337" w:rsidRPr="00BE3D9C">
        <w:t xml:space="preserve">építményadót, </w:t>
      </w:r>
      <w:r>
        <w:t xml:space="preserve">telekadót, kommunális adót, </w:t>
      </w:r>
      <w:r w:rsidR="00BA1337" w:rsidRPr="00BE3D9C">
        <w:t>idegenforgalmi adót</w:t>
      </w:r>
      <w:r>
        <w:t xml:space="preserve"> és helyi</w:t>
      </w:r>
      <w:r w:rsidR="00D74E4D">
        <w:t xml:space="preserve"> </w:t>
      </w:r>
      <w:r w:rsidR="00BA1337" w:rsidRPr="00BE3D9C">
        <w:t>iparűzési ad</w:t>
      </w:r>
      <w:r w:rsidR="00BA1337">
        <w:t>ót</w:t>
      </w:r>
      <w:r>
        <w:t xml:space="preserve"> </w:t>
      </w:r>
      <w:r w:rsidR="00BA1337">
        <w:t>vezet</w:t>
      </w:r>
      <w:r w:rsidR="009A58EE">
        <w:t>ett</w:t>
      </w:r>
      <w:r w:rsidR="00BA1337">
        <w:t xml:space="preserve"> be határozatlan időre.</w:t>
      </w:r>
    </w:p>
    <w:p w:rsidR="00BA1337" w:rsidRDefault="00BA1337" w:rsidP="00BA1337">
      <w:pPr>
        <w:jc w:val="both"/>
      </w:pPr>
      <w:r>
        <w:t>A</w:t>
      </w:r>
      <w:r w:rsidR="0001745B">
        <w:t xml:space="preserve"> </w:t>
      </w:r>
      <w:r w:rsidR="003C7009" w:rsidRPr="003C7009">
        <w:t>Képviselő-testület részéről</w:t>
      </w:r>
      <w:r w:rsidR="0001745B">
        <w:t xml:space="preserve"> </w:t>
      </w:r>
      <w:r>
        <w:t>igény merült fel a telekadó tekintetében a helyi adókról szóló 1990. évi C. törvényben (a továbbiakban: Htv.), valamint a Rendel</w:t>
      </w:r>
      <w:r w:rsidR="00D74E4D">
        <w:t xml:space="preserve">etben szabályozott mentességeken túl további </w:t>
      </w:r>
      <w:r w:rsidR="003F0BCD">
        <w:t xml:space="preserve">kedvezmények, </w:t>
      </w:r>
      <w:r w:rsidR="00D74E4D">
        <w:t>mentességek meghatározására</w:t>
      </w:r>
      <w:r w:rsidR="0001745B">
        <w:t>.</w:t>
      </w:r>
      <w:r>
        <w:t xml:space="preserve"> </w:t>
      </w:r>
    </w:p>
    <w:p w:rsidR="00BA1337" w:rsidRPr="00BE3D9C" w:rsidRDefault="00BA1337" w:rsidP="00BA1337">
      <w:pPr>
        <w:jc w:val="both"/>
      </w:pPr>
    </w:p>
    <w:p w:rsidR="00EE4D73" w:rsidRPr="00AA52E4" w:rsidRDefault="005E16AA" w:rsidP="00EE4D73">
      <w:pPr>
        <w:rPr>
          <w:rStyle w:val="Kiemels2"/>
        </w:rPr>
      </w:pPr>
      <w:r w:rsidRPr="00AA52E4">
        <w:rPr>
          <w:rStyle w:val="Kiemels2"/>
        </w:rPr>
        <w:t>INDOKOLÁS</w:t>
      </w:r>
    </w:p>
    <w:p w:rsidR="001B386A" w:rsidRDefault="001B386A" w:rsidP="00EE4D73">
      <w:pPr>
        <w:rPr>
          <w:rStyle w:val="Kiemels2"/>
          <w:sz w:val="27"/>
          <w:szCs w:val="27"/>
        </w:rPr>
      </w:pPr>
    </w:p>
    <w:p w:rsidR="005F4941" w:rsidRDefault="005F4941" w:rsidP="005F4941">
      <w:pPr>
        <w:jc w:val="both"/>
      </w:pPr>
      <w:r w:rsidRPr="00A51508">
        <w:rPr>
          <w:iCs/>
        </w:rPr>
        <w:t xml:space="preserve">A </w:t>
      </w:r>
      <w:r>
        <w:rPr>
          <w:iCs/>
        </w:rPr>
        <w:t xml:space="preserve">Htv. </w:t>
      </w:r>
      <w:r w:rsidRPr="00A51508">
        <w:rPr>
          <w:iCs/>
        </w:rPr>
        <w:t xml:space="preserve">6. § d) pontja szerint az önkormányzat adó megállapítási joga arra terjed ki, hogy </w:t>
      </w:r>
      <w:r w:rsidRPr="00A51508">
        <w:t>a Htv. második részében meghatározott mentességeket, kedvezményeket további mentességekkel, kedvezményekkel, így különösen a lakások esetében a lakásban lakóhellyel rendelkező eltartottak számától, a lakáson fennálló, hitelintézet által lakásvásárlásra, lakásépítésre nyújtott hitel biztosítékául szolgáló jelzálogjog fennállásától, a lakásban lakóhellyel rendelkezők jövedelmétől függő mentességekkel, kedvezményekkel kibővítse.</w:t>
      </w:r>
    </w:p>
    <w:p w:rsidR="004124B1" w:rsidRPr="00A51508" w:rsidRDefault="004124B1" w:rsidP="005F4941">
      <w:pPr>
        <w:jc w:val="both"/>
      </w:pPr>
    </w:p>
    <w:p w:rsidR="00520446" w:rsidRDefault="000E5E4D" w:rsidP="000E5E4D">
      <w:pPr>
        <w:jc w:val="both"/>
      </w:pPr>
      <w:r w:rsidRPr="000E5E4D">
        <w:t>A Htv.7. § g) pontja alapján az önkormányzat adómegállap</w:t>
      </w:r>
      <w:r>
        <w:t xml:space="preserve">ítási jogát korlátozza az, hogy </w:t>
      </w:r>
      <w:r w:rsidRPr="000E5E4D">
        <w:t>az adóalap fajtáját, az adó mértékét, a rendeleti adómentességet és adókedvezményt úgy állapíthatja meg, hogy azok összességükben egyaránt megfeleljenek a helyi sajátosságoknak, az önkormányzat gazdálkodási követelményeinek és az adóalanyok széles körét érintően az adóa</w:t>
      </w:r>
      <w:r w:rsidR="00A17CF8">
        <w:t>lanyok teherviselő képességének.</w:t>
      </w:r>
      <w:r w:rsidR="00520446">
        <w:t xml:space="preserve"> </w:t>
      </w:r>
    </w:p>
    <w:p w:rsidR="004124B1" w:rsidRDefault="004124B1" w:rsidP="007D2367">
      <w:pPr>
        <w:pStyle w:val="Default"/>
        <w:jc w:val="both"/>
      </w:pPr>
    </w:p>
    <w:p w:rsidR="00B03EB2" w:rsidRDefault="0051468C" w:rsidP="002A0626">
      <w:pPr>
        <w:pStyle w:val="Default"/>
        <w:jc w:val="both"/>
        <w:rPr>
          <w:color w:val="auto"/>
        </w:rPr>
      </w:pPr>
      <w:r>
        <w:t xml:space="preserve">Az újonnan alakult Képviselő-testület felülvizsgálta </w:t>
      </w:r>
      <w:r w:rsidR="007D2367">
        <w:t xml:space="preserve">a </w:t>
      </w:r>
      <w:r>
        <w:t>helyi adórendelet</w:t>
      </w:r>
      <w:r w:rsidR="007D2367">
        <w:t>e</w:t>
      </w:r>
      <w:r>
        <w:t>t, melynek során megállapította, hogy a Rendeletben megállapított 50 Ft-os telekadó adómérték nem konfiskáló ugyan</w:t>
      </w:r>
      <w:r w:rsidR="007D2367">
        <w:t xml:space="preserve">  </w:t>
      </w:r>
      <w:r w:rsidR="007D2367" w:rsidRPr="007D2367">
        <w:rPr>
          <w:i/>
          <w:iCs/>
        </w:rPr>
        <w:t xml:space="preserve">- </w:t>
      </w:r>
      <w:r w:rsidR="002A0626" w:rsidRPr="002A0626">
        <w:rPr>
          <w:i/>
          <w:iCs/>
          <w:sz w:val="23"/>
          <w:szCs w:val="23"/>
        </w:rPr>
        <w:t>a KÚRIA Önkormányzati Tanácsának Köf.5021/2016/3</w:t>
      </w:r>
      <w:r w:rsidR="002A0626">
        <w:rPr>
          <w:i/>
          <w:iCs/>
          <w:sz w:val="23"/>
          <w:szCs w:val="23"/>
        </w:rPr>
        <w:t>,</w:t>
      </w:r>
      <w:r w:rsidR="002A0626" w:rsidRPr="002A0626">
        <w:rPr>
          <w:i/>
          <w:iCs/>
          <w:sz w:val="23"/>
          <w:szCs w:val="23"/>
        </w:rPr>
        <w:t xml:space="preserve"> Köf.5021/2017/4, Köf.5018/2016/4,</w:t>
      </w:r>
      <w:r w:rsidR="002A0626" w:rsidRPr="002A0626">
        <w:rPr>
          <w:sz w:val="23"/>
          <w:szCs w:val="23"/>
        </w:rPr>
        <w:t xml:space="preserve"> </w:t>
      </w:r>
      <w:r w:rsidR="002A0626" w:rsidRPr="00D83F49">
        <w:rPr>
          <w:i/>
          <w:iCs/>
          <w:sz w:val="23"/>
          <w:szCs w:val="23"/>
        </w:rPr>
        <w:t xml:space="preserve">Köf.5011/2017/4. számú határozataiban megfogalmazottak szerint </w:t>
      </w:r>
      <w:r w:rsidR="007D2367" w:rsidRPr="00D83F49">
        <w:rPr>
          <w:i/>
          <w:iCs/>
        </w:rPr>
        <w:t>k</w:t>
      </w:r>
      <w:r w:rsidR="007D2367" w:rsidRPr="00D83F49">
        <w:rPr>
          <w:i/>
          <w:iCs/>
          <w:sz w:val="23"/>
          <w:szCs w:val="23"/>
        </w:rPr>
        <w:t>onfiskáló jellegű</w:t>
      </w:r>
      <w:r w:rsidR="007D2367" w:rsidRPr="007D2367">
        <w:rPr>
          <w:i/>
          <w:iCs/>
          <w:sz w:val="23"/>
          <w:szCs w:val="23"/>
        </w:rPr>
        <w:t xml:space="preserve"> az az adó, amely mértékénél fogva és az adó tárgyát képező vagyontömeghez képest súlyosan aránytalan. Az az adómérték, amely évente a vagyon értékének közel 60–70 %-át teszi ki, súlyosan aránytalannak minősül, mivel belátható időn belül felemészti az adótárgyat</w:t>
      </w:r>
      <w:r w:rsidR="002B5CA0">
        <w:rPr>
          <w:i/>
          <w:iCs/>
          <w:sz w:val="23"/>
          <w:szCs w:val="23"/>
        </w:rPr>
        <w:t>.</w:t>
      </w:r>
      <w:r w:rsidR="007D2367" w:rsidRPr="007D2367">
        <w:rPr>
          <w:i/>
          <w:iCs/>
          <w:sz w:val="23"/>
          <w:szCs w:val="23"/>
        </w:rPr>
        <w:t xml:space="preserve"> Építményadó és telekadó konfiskáló jellegét csak kivételesen, olyan esetekben lehet megállapítani, amikor az adó éves mértéke megközelíti, vagy meghaladja a vagyontárgy értékét. Egy adott adóalany gazdasági teljesítőképességének növekedése vagy csökkenése nem ad alapot a helyi adó törvényellenességének </w:t>
      </w:r>
      <w:r w:rsidR="007D2367" w:rsidRPr="00D1227D">
        <w:rPr>
          <w:i/>
          <w:iCs/>
          <w:color w:val="auto"/>
          <w:sz w:val="23"/>
          <w:szCs w:val="23"/>
        </w:rPr>
        <w:t>megállapítására -</w:t>
      </w:r>
      <w:r w:rsidRPr="00D1227D">
        <w:rPr>
          <w:color w:val="auto"/>
        </w:rPr>
        <w:t xml:space="preserve"> de </w:t>
      </w:r>
      <w:r w:rsidR="002B5CA0" w:rsidRPr="00D1227D">
        <w:rPr>
          <w:color w:val="auto"/>
        </w:rPr>
        <w:t xml:space="preserve">a nagyobb, különösen az </w:t>
      </w:r>
      <w:r w:rsidR="003F0BCD" w:rsidRPr="00D1227D">
        <w:rPr>
          <w:color w:val="auto"/>
        </w:rPr>
        <w:t xml:space="preserve">1 hektárt meghaladó alapterületű, </w:t>
      </w:r>
      <w:r w:rsidR="002B5CA0" w:rsidRPr="00D1227D">
        <w:rPr>
          <w:color w:val="auto"/>
        </w:rPr>
        <w:t xml:space="preserve">művelés aló </w:t>
      </w:r>
      <w:r w:rsidR="003F0BCD" w:rsidRPr="00D1227D">
        <w:rPr>
          <w:color w:val="auto"/>
        </w:rPr>
        <w:t>kivett</w:t>
      </w:r>
      <w:r w:rsidR="002B5CA0" w:rsidRPr="00D1227D">
        <w:rPr>
          <w:color w:val="auto"/>
        </w:rPr>
        <w:t xml:space="preserve"> </w:t>
      </w:r>
      <w:r w:rsidR="00A17CF8" w:rsidRPr="00D1227D">
        <w:rPr>
          <w:color w:val="auto"/>
        </w:rPr>
        <w:t>ingatlanok</w:t>
      </w:r>
      <w:r w:rsidR="00D1227D" w:rsidRPr="00D1227D">
        <w:rPr>
          <w:color w:val="auto"/>
        </w:rPr>
        <w:t xml:space="preserve"> tekintetében</w:t>
      </w:r>
      <w:r w:rsidR="003F0BCD" w:rsidRPr="00D1227D">
        <w:rPr>
          <w:color w:val="auto"/>
        </w:rPr>
        <w:t xml:space="preserve"> az</w:t>
      </w:r>
      <w:r w:rsidRPr="00D1227D">
        <w:rPr>
          <w:color w:val="auto"/>
        </w:rPr>
        <w:t xml:space="preserve"> adómérték és az</w:t>
      </w:r>
      <w:r w:rsidR="003F0BCD" w:rsidRPr="00D1227D">
        <w:rPr>
          <w:color w:val="auto"/>
        </w:rPr>
        <w:t xml:space="preserve"> adóalap szorzataként előálló adóösszeg </w:t>
      </w:r>
      <w:r w:rsidRPr="00D1227D">
        <w:rPr>
          <w:color w:val="auto"/>
        </w:rPr>
        <w:t xml:space="preserve">jelentős terhet ró ezen </w:t>
      </w:r>
      <w:r w:rsidR="003F0BCD" w:rsidRPr="00D1227D">
        <w:rPr>
          <w:color w:val="auto"/>
        </w:rPr>
        <w:t xml:space="preserve">ingatlanok </w:t>
      </w:r>
      <w:r w:rsidRPr="00D1227D">
        <w:rPr>
          <w:color w:val="auto"/>
        </w:rPr>
        <w:t xml:space="preserve">tulajdonosaira. </w:t>
      </w:r>
    </w:p>
    <w:p w:rsidR="000E5E4D" w:rsidRPr="00D1227D" w:rsidRDefault="006D3C19" w:rsidP="00B03EB2">
      <w:pPr>
        <w:pStyle w:val="Default"/>
        <w:spacing w:before="120"/>
        <w:jc w:val="both"/>
        <w:rPr>
          <w:color w:val="auto"/>
        </w:rPr>
      </w:pPr>
      <w:r w:rsidRPr="00D1227D">
        <w:rPr>
          <w:color w:val="auto"/>
        </w:rPr>
        <w:t xml:space="preserve">Fentiekre tekintettel a Képviselő-testületnek szándékában áll ezen ingatlanok </w:t>
      </w:r>
      <w:r w:rsidR="002B5CA0" w:rsidRPr="00D1227D">
        <w:rPr>
          <w:color w:val="auto"/>
        </w:rPr>
        <w:t>vonatkozásában</w:t>
      </w:r>
      <w:r w:rsidRPr="00D1227D">
        <w:rPr>
          <w:color w:val="auto"/>
        </w:rPr>
        <w:t xml:space="preserve"> méltányosan eljárni, ezért a helyi adórendeletben megfogalmazott mentességek körének kibővítésé</w:t>
      </w:r>
      <w:r w:rsidR="002B5CA0" w:rsidRPr="00D1227D">
        <w:rPr>
          <w:color w:val="auto"/>
        </w:rPr>
        <w:t xml:space="preserve">t </w:t>
      </w:r>
      <w:r w:rsidR="0058275F" w:rsidRPr="00D1227D">
        <w:rPr>
          <w:color w:val="auto"/>
        </w:rPr>
        <w:t>kezdeményezte.</w:t>
      </w:r>
      <w:r w:rsidRPr="00D1227D">
        <w:rPr>
          <w:color w:val="auto"/>
        </w:rPr>
        <w:t xml:space="preserve"> </w:t>
      </w:r>
    </w:p>
    <w:p w:rsidR="00B03EB2" w:rsidRDefault="00B03EB2" w:rsidP="002B5CA0">
      <w:pPr>
        <w:spacing w:before="120"/>
        <w:jc w:val="both"/>
      </w:pPr>
    </w:p>
    <w:p w:rsidR="002B5CA0" w:rsidRDefault="002B5CA0" w:rsidP="002B5CA0">
      <w:pPr>
        <w:spacing w:before="120"/>
        <w:jc w:val="both"/>
      </w:pPr>
      <w:r>
        <w:lastRenderedPageBreak/>
        <w:t xml:space="preserve">A Htv. 52. § 16. pontja szerint telek: az épülettel, épületrésszel be nem épített földterület, ide nem értve  </w:t>
      </w:r>
    </w:p>
    <w:p w:rsidR="002B5CA0" w:rsidRDefault="002B5CA0" w:rsidP="002B5CA0">
      <w:pPr>
        <w:jc w:val="both"/>
      </w:pPr>
      <w:r>
        <w:t>a) a belterületen fekvő termőföldet, feltéve, ha az tényleges mezőgazdasági művelés alatt áll,</w:t>
      </w:r>
    </w:p>
    <w:p w:rsidR="002B5CA0" w:rsidRDefault="002B5CA0" w:rsidP="002B5CA0">
      <w:pPr>
        <w:jc w:val="both"/>
      </w:pPr>
      <w:r>
        <w:t>b) a külterületen fekvő termőföldet,</w:t>
      </w:r>
    </w:p>
    <w:p w:rsidR="002B5CA0" w:rsidRDefault="002B5CA0" w:rsidP="002B5CA0">
      <w:pPr>
        <w:jc w:val="both"/>
      </w:pPr>
      <w:r>
        <w:t>c) a tanyát,</w:t>
      </w:r>
    </w:p>
    <w:p w:rsidR="002B5CA0" w:rsidRDefault="002B5CA0" w:rsidP="002B5CA0">
      <w:pPr>
        <w:jc w:val="both"/>
      </w:pPr>
      <w:r>
        <w:t>d) a közút területét,</w:t>
      </w:r>
    </w:p>
    <w:p w:rsidR="002B5CA0" w:rsidRDefault="002B5CA0" w:rsidP="002B5CA0">
      <w:pPr>
        <w:jc w:val="both"/>
      </w:pPr>
      <w:r>
        <w:t>e) a vasúti pályát, a vasúti pálya tartozékai által lefedett földterületet,</w:t>
      </w:r>
    </w:p>
    <w:p w:rsidR="002B5CA0" w:rsidRDefault="002B5CA0" w:rsidP="002B5CA0">
      <w:pPr>
        <w:jc w:val="both"/>
      </w:pPr>
      <w:r>
        <w:t>f) a temetőkről és a temetkezésről szóló törvény temető fogalma alá tartozó földterületet,</w:t>
      </w:r>
    </w:p>
    <w:p w:rsidR="002B5CA0" w:rsidRDefault="002B5CA0" w:rsidP="002B5CA0">
      <w:pPr>
        <w:jc w:val="both"/>
      </w:pPr>
      <w:r>
        <w:t>g) a halgazdálkodásról és a hal védelméről szóló törvény szerinti víztározó, bányató területét,</w:t>
      </w:r>
    </w:p>
    <w:p w:rsidR="002B5CA0" w:rsidRDefault="002B5CA0" w:rsidP="002B5CA0">
      <w:pPr>
        <w:jc w:val="both"/>
      </w:pPr>
      <w:r>
        <w:t>h) az erdőt,</w:t>
      </w:r>
    </w:p>
    <w:p w:rsidR="0051468C" w:rsidRDefault="002B5CA0" w:rsidP="002B5CA0">
      <w:pPr>
        <w:jc w:val="both"/>
      </w:pPr>
      <w:r>
        <w:t>i) az ingatlan-nyilvántartásban mocsárként nyilvántartott földterületet.</w:t>
      </w:r>
    </w:p>
    <w:p w:rsidR="002B5CA0" w:rsidRDefault="002B5CA0" w:rsidP="002B5CA0">
      <w:pPr>
        <w:jc w:val="both"/>
      </w:pPr>
    </w:p>
    <w:p w:rsidR="00D74E4D" w:rsidRDefault="00D74E4D" w:rsidP="002B5CA0">
      <w:pPr>
        <w:jc w:val="both"/>
      </w:pPr>
      <w:r>
        <w:t>A Htv. 19. §-a az alábbiak szerint határozza meg a telekadó alóli mentességeket:</w:t>
      </w:r>
    </w:p>
    <w:p w:rsidR="00D74E4D" w:rsidRDefault="00D74E4D" w:rsidP="00D74E4D">
      <w:pPr>
        <w:jc w:val="both"/>
      </w:pPr>
    </w:p>
    <w:p w:rsidR="004550C4" w:rsidRPr="004550C4" w:rsidRDefault="004550C4" w:rsidP="004550C4">
      <w:pPr>
        <w:jc w:val="both"/>
        <w:rPr>
          <w:i/>
        </w:rPr>
      </w:pPr>
      <w:r w:rsidRPr="004550C4">
        <w:rPr>
          <w:i/>
        </w:rPr>
        <w:t xml:space="preserve">19. § Mentes az adó alól: </w:t>
      </w:r>
    </w:p>
    <w:p w:rsidR="004550C4" w:rsidRPr="004550C4" w:rsidRDefault="004550C4" w:rsidP="004550C4">
      <w:pPr>
        <w:jc w:val="both"/>
        <w:rPr>
          <w:i/>
        </w:rPr>
      </w:pPr>
      <w:r w:rsidRPr="004550C4">
        <w:rPr>
          <w:i/>
        </w:rPr>
        <w:t>a)</w:t>
      </w:r>
      <w:hyperlink r:id="rId8" w:anchor="lbj67id1509699292284eceb" w:history="1"/>
      <w:r w:rsidRPr="004550C4">
        <w:rPr>
          <w:i/>
        </w:rPr>
        <w:t xml:space="preserve"> az épület, épületrész hasznos alapterületével egyező nagyságú telekrész,</w:t>
      </w:r>
    </w:p>
    <w:p w:rsidR="004550C4" w:rsidRPr="004550C4" w:rsidRDefault="004550C4" w:rsidP="004550C4">
      <w:pPr>
        <w:jc w:val="both"/>
        <w:rPr>
          <w:i/>
        </w:rPr>
      </w:pPr>
      <w:r w:rsidRPr="004550C4">
        <w:rPr>
          <w:i/>
        </w:rPr>
        <w:t>b) a mezőgazdasági művelés alatt álló belterületi telek,</w:t>
      </w:r>
    </w:p>
    <w:p w:rsidR="004550C4" w:rsidRPr="004550C4" w:rsidRDefault="004550C4" w:rsidP="004550C4">
      <w:pPr>
        <w:jc w:val="both"/>
        <w:rPr>
          <w:i/>
        </w:rPr>
      </w:pPr>
      <w:r w:rsidRPr="004550C4">
        <w:rPr>
          <w:i/>
        </w:rPr>
        <w:t>c) az építési tilalom alatt álló telek adóköteles területének 50%-a,</w:t>
      </w:r>
    </w:p>
    <w:p w:rsidR="004550C4" w:rsidRPr="004550C4" w:rsidRDefault="004550C4" w:rsidP="004550C4">
      <w:pPr>
        <w:jc w:val="both"/>
        <w:rPr>
          <w:i/>
        </w:rPr>
      </w:pPr>
      <w:r w:rsidRPr="004550C4">
        <w:rPr>
          <w:i/>
        </w:rPr>
        <w:t>d) az adóalany termék-előállító üzeméhez tartozó, jogszabályban vagy hatósági előírásban megállapított védő-biztonsági terület (övezet), feltéve, ha az adóalany adóévet megelőző adóévi, évesített nettó árbevétele legalább 50%-ban saját előállítású termék értékesítéséből származik.</w:t>
      </w:r>
    </w:p>
    <w:p w:rsidR="004550C4" w:rsidRDefault="004550C4" w:rsidP="00D74E4D">
      <w:pPr>
        <w:jc w:val="both"/>
      </w:pPr>
    </w:p>
    <w:p w:rsidR="005F4941" w:rsidRDefault="005F4941" w:rsidP="004550C4">
      <w:pPr>
        <w:pStyle w:val="Szvegtrzs"/>
      </w:pPr>
      <w:r w:rsidRPr="004550C4">
        <w:t xml:space="preserve">A Rendelet </w:t>
      </w:r>
      <w:r w:rsidR="004550C4" w:rsidRPr="004550C4">
        <w:t>4. §-</w:t>
      </w:r>
      <w:r w:rsidR="00FC7FC3" w:rsidRPr="004550C4">
        <w:t>a</w:t>
      </w:r>
      <w:r w:rsidRPr="004550C4">
        <w:t xml:space="preserve"> az </w:t>
      </w:r>
      <w:r w:rsidR="00FC7FC3" w:rsidRPr="004550C4">
        <w:t>alábbi</w:t>
      </w:r>
      <w:r w:rsidRPr="004550C4">
        <w:t xml:space="preserve"> </w:t>
      </w:r>
      <w:r w:rsidR="00D74E4D" w:rsidRPr="004550C4">
        <w:t>telekadóra vonatkozó szabályokat tartalmazza</w:t>
      </w:r>
      <w:r w:rsidR="00FC7FC3" w:rsidRPr="004550C4">
        <w:t>:</w:t>
      </w:r>
    </w:p>
    <w:p w:rsidR="004550C4" w:rsidRPr="004550C4" w:rsidRDefault="004550C4" w:rsidP="004550C4">
      <w:pPr>
        <w:pStyle w:val="Szvegtrzs"/>
      </w:pPr>
    </w:p>
    <w:p w:rsidR="004550C4" w:rsidRPr="004550C4" w:rsidRDefault="004550C4" w:rsidP="004550C4">
      <w:pPr>
        <w:jc w:val="both"/>
        <w:rPr>
          <w:i/>
        </w:rPr>
      </w:pPr>
      <w:r w:rsidRPr="004550C4">
        <w:rPr>
          <w:i/>
        </w:rPr>
        <w:t>4. § (1) A telekadó alapja a telek m</w:t>
      </w:r>
      <w:r w:rsidRPr="002B5CA0">
        <w:rPr>
          <w:i/>
          <w:vertAlign w:val="superscript"/>
        </w:rPr>
        <w:t>2</w:t>
      </w:r>
      <w:r w:rsidRPr="004550C4">
        <w:rPr>
          <w:i/>
        </w:rPr>
        <w:t>-ben számított területe.</w:t>
      </w:r>
    </w:p>
    <w:p w:rsidR="004550C4" w:rsidRPr="004550C4" w:rsidRDefault="004550C4" w:rsidP="004550C4">
      <w:pPr>
        <w:jc w:val="both"/>
        <w:rPr>
          <w:i/>
        </w:rPr>
      </w:pPr>
      <w:r w:rsidRPr="004550C4">
        <w:rPr>
          <w:i/>
        </w:rPr>
        <w:t>(2) A telekadó évi mértéke 50 Ft/m</w:t>
      </w:r>
      <w:r w:rsidRPr="002B5CA0">
        <w:rPr>
          <w:i/>
          <w:vertAlign w:val="superscript"/>
        </w:rPr>
        <w:t>2</w:t>
      </w:r>
      <w:r w:rsidRPr="004550C4">
        <w:rPr>
          <w:i/>
        </w:rPr>
        <w:t>.</w:t>
      </w:r>
    </w:p>
    <w:p w:rsidR="004550C4" w:rsidRPr="004550C4" w:rsidRDefault="004550C4" w:rsidP="004550C4">
      <w:pPr>
        <w:jc w:val="both"/>
        <w:rPr>
          <w:i/>
        </w:rPr>
      </w:pPr>
      <w:r w:rsidRPr="004550C4">
        <w:rPr>
          <w:i/>
        </w:rPr>
        <w:t>(3) Mentes a telekadó alól a beépített belterületi ingatlan.</w:t>
      </w:r>
    </w:p>
    <w:p w:rsidR="004550C4" w:rsidRPr="004550C4" w:rsidRDefault="004550C4" w:rsidP="004550C4">
      <w:pPr>
        <w:jc w:val="both"/>
        <w:rPr>
          <w:i/>
        </w:rPr>
      </w:pPr>
      <w:r w:rsidRPr="004550C4">
        <w:rPr>
          <w:i/>
        </w:rPr>
        <w:t xml:space="preserve">(4) A (3) </w:t>
      </w:r>
      <w:r w:rsidR="00115154">
        <w:rPr>
          <w:i/>
        </w:rPr>
        <w:t xml:space="preserve">és az (5) </w:t>
      </w:r>
      <w:r w:rsidRPr="004550C4">
        <w:rPr>
          <w:i/>
        </w:rPr>
        <w:t>bekezdés nem alkalmazható a vállalkozó üzleti célt szolgáló telke utáni telekadó megállapítása során.</w:t>
      </w:r>
    </w:p>
    <w:p w:rsidR="00115154" w:rsidRPr="00115154" w:rsidRDefault="00115154" w:rsidP="00115154">
      <w:pPr>
        <w:autoSpaceDE w:val="0"/>
        <w:autoSpaceDN w:val="0"/>
        <w:adjustRightInd w:val="0"/>
        <w:jc w:val="both"/>
        <w:rPr>
          <w:i/>
          <w:iCs/>
        </w:rPr>
      </w:pPr>
      <w:r w:rsidRPr="00115154">
        <w:rPr>
          <w:i/>
          <w:iCs/>
        </w:rPr>
        <w:t>(5) Mentes a telekadó alól a zártkerti művelés alól kivett telek adóköteles alapterületének 80 %-a</w:t>
      </w:r>
    </w:p>
    <w:p w:rsidR="00115154" w:rsidRPr="004550C4" w:rsidRDefault="00115154" w:rsidP="005F4941">
      <w:pPr>
        <w:jc w:val="both"/>
        <w:rPr>
          <w:bCs/>
          <w:i/>
        </w:rPr>
      </w:pPr>
    </w:p>
    <w:p w:rsidR="00594D85" w:rsidRDefault="00594D85" w:rsidP="005F4941">
      <w:pPr>
        <w:jc w:val="both"/>
        <w:rPr>
          <w:rStyle w:val="Kiemels2"/>
          <w:b w:val="0"/>
        </w:rPr>
      </w:pPr>
      <w:r w:rsidRPr="004919A7">
        <w:rPr>
          <w:rStyle w:val="Kiemels2"/>
          <w:b w:val="0"/>
        </w:rPr>
        <w:t xml:space="preserve">Előzetes egyeztetés alapján </w:t>
      </w:r>
      <w:r w:rsidR="004550C4" w:rsidRPr="004919A7">
        <w:rPr>
          <w:rStyle w:val="Kiemels2"/>
          <w:b w:val="0"/>
        </w:rPr>
        <w:t>Köveskál</w:t>
      </w:r>
      <w:r w:rsidRPr="004919A7">
        <w:rPr>
          <w:rStyle w:val="Kiemels2"/>
          <w:b w:val="0"/>
        </w:rPr>
        <w:t xml:space="preserve"> Község Önkormányzata Képviselő-testülete</w:t>
      </w:r>
      <w:r w:rsidR="009A58EE" w:rsidRPr="004919A7">
        <w:rPr>
          <w:rStyle w:val="Kiemels2"/>
          <w:b w:val="0"/>
        </w:rPr>
        <w:t xml:space="preserve"> fentieken túl</w:t>
      </w:r>
      <w:r w:rsidRPr="004919A7">
        <w:rPr>
          <w:rStyle w:val="Kiemels2"/>
          <w:b w:val="0"/>
        </w:rPr>
        <w:t xml:space="preserve"> az alábbi ingatlanok tekintetében kíván mentességet biztosítani:</w:t>
      </w:r>
    </w:p>
    <w:p w:rsidR="002A0626" w:rsidRPr="00B03EB2" w:rsidRDefault="002A0626" w:rsidP="002A0626">
      <w:pPr>
        <w:ind w:firstLine="360"/>
        <w:jc w:val="both"/>
        <w:rPr>
          <w:rStyle w:val="Kiemels2"/>
          <w:bCs w:val="0"/>
          <w:u w:val="single"/>
        </w:rPr>
      </w:pPr>
      <w:r w:rsidRPr="00B03EB2">
        <w:rPr>
          <w:rStyle w:val="Kiemels2"/>
          <w:bCs w:val="0"/>
          <w:u w:val="single"/>
        </w:rPr>
        <w:t>A verzió:</w:t>
      </w:r>
    </w:p>
    <w:p w:rsidR="004550C4" w:rsidRDefault="00E51FBD" w:rsidP="002B5CA0">
      <w:pPr>
        <w:numPr>
          <w:ilvl w:val="0"/>
          <w:numId w:val="39"/>
        </w:numPr>
        <w:jc w:val="both"/>
        <w:rPr>
          <w:color w:val="000000"/>
        </w:rPr>
      </w:pPr>
      <w:r w:rsidRPr="004919A7">
        <w:t>mentes a telekadó alól a</w:t>
      </w:r>
      <w:r w:rsidR="002B5CA0">
        <w:t>z ingatlan nyilvántartásban mezőgazdasági művelés alól kivett</w:t>
      </w:r>
      <w:r w:rsidR="0093470D">
        <w:t>-</w:t>
      </w:r>
      <w:r w:rsidR="002B5CA0">
        <w:t>ként szereplő beépítetlen belterületi telek adóköteles alapterületének 10.000 m</w:t>
      </w:r>
      <w:r w:rsidR="002B5CA0" w:rsidRPr="0093470D">
        <w:rPr>
          <w:vertAlign w:val="superscript"/>
        </w:rPr>
        <w:t>2</w:t>
      </w:r>
      <w:r w:rsidR="002B5CA0">
        <w:t xml:space="preserve"> feletti része.</w:t>
      </w:r>
      <w:r w:rsidR="002B5CA0">
        <w:rPr>
          <w:color w:val="000000"/>
        </w:rPr>
        <w:t xml:space="preserve"> </w:t>
      </w:r>
    </w:p>
    <w:p w:rsidR="0093470D" w:rsidRPr="00B03EB2" w:rsidRDefault="002A0626" w:rsidP="002A0626">
      <w:pPr>
        <w:ind w:firstLine="360"/>
        <w:jc w:val="both"/>
        <w:rPr>
          <w:b/>
          <w:bCs/>
          <w:color w:val="000000"/>
          <w:u w:val="single"/>
        </w:rPr>
      </w:pPr>
      <w:r w:rsidRPr="00B03EB2">
        <w:rPr>
          <w:b/>
          <w:bCs/>
          <w:color w:val="000000"/>
          <w:u w:val="single"/>
        </w:rPr>
        <w:t>B verzió:</w:t>
      </w:r>
    </w:p>
    <w:p w:rsidR="002A0626" w:rsidRDefault="002A0626" w:rsidP="002A0626">
      <w:pPr>
        <w:numPr>
          <w:ilvl w:val="0"/>
          <w:numId w:val="39"/>
        </w:numPr>
        <w:jc w:val="both"/>
        <w:rPr>
          <w:color w:val="000000"/>
        </w:rPr>
      </w:pPr>
      <w:r>
        <w:rPr>
          <w:color w:val="000000"/>
        </w:rPr>
        <w:t>mentes a telekadó alól az ingatlan nyilvántartásban mezőgazdasági művelés alól kivett-ként</w:t>
      </w:r>
    </w:p>
    <w:p w:rsidR="002A0626" w:rsidRDefault="002A0626" w:rsidP="00D83F49">
      <w:pPr>
        <w:ind w:left="708"/>
        <w:jc w:val="both"/>
        <w:rPr>
          <w:color w:val="000000"/>
        </w:rPr>
      </w:pPr>
      <w:r>
        <w:rPr>
          <w:color w:val="000000"/>
        </w:rPr>
        <w:t xml:space="preserve">szereplő, 1 hektárt meghaladó alapterületű beépítetlen belterületi telek adóköteles alapterületének 50 %-a. </w:t>
      </w:r>
    </w:p>
    <w:p w:rsidR="002A0626" w:rsidRDefault="002A0626" w:rsidP="00B03EB2">
      <w:pPr>
        <w:ind w:left="360"/>
        <w:jc w:val="both"/>
        <w:rPr>
          <w:color w:val="000000"/>
        </w:rPr>
      </w:pPr>
    </w:p>
    <w:p w:rsidR="001E4B7C" w:rsidRPr="00F25A29" w:rsidRDefault="000B734B" w:rsidP="007A094C">
      <w:pPr>
        <w:pStyle w:val="Szvegtrzs"/>
        <w:rPr>
          <w:color w:val="000000"/>
        </w:rPr>
      </w:pPr>
      <w:r w:rsidRPr="00F25A29">
        <w:rPr>
          <w:color w:val="000000"/>
        </w:rPr>
        <w:t xml:space="preserve">A rendelettervezet 1. §-a </w:t>
      </w:r>
      <w:proofErr w:type="spellStart"/>
      <w:r w:rsidR="004919A7">
        <w:rPr>
          <w:color w:val="000000"/>
        </w:rPr>
        <w:t>a</w:t>
      </w:r>
      <w:proofErr w:type="spellEnd"/>
      <w:r w:rsidR="004919A7">
        <w:rPr>
          <w:color w:val="000000"/>
        </w:rPr>
        <w:t xml:space="preserve"> vállalkozó üzleti célt szolgáló telkére vonatkozó rendelkezést </w:t>
      </w:r>
      <w:r w:rsidR="004919A7" w:rsidRPr="004919A7">
        <w:t>tartalmazz</w:t>
      </w:r>
      <w:r w:rsidR="001E4B7C" w:rsidRPr="004919A7">
        <w:t>a</w:t>
      </w:r>
      <w:r w:rsidR="004919A7" w:rsidRPr="004919A7">
        <w:t>.</w:t>
      </w:r>
      <w:r w:rsidR="007A094C" w:rsidRPr="004919A7">
        <w:t xml:space="preserve"> </w:t>
      </w:r>
      <w:r w:rsidR="00FB43C9" w:rsidRPr="004919A7">
        <w:t>A 2. §</w:t>
      </w:r>
      <w:r w:rsidR="004919A7" w:rsidRPr="004919A7">
        <w:t xml:space="preserve"> tartalmazza a </w:t>
      </w:r>
      <w:r w:rsidR="00115154">
        <w:t xml:space="preserve">belterületi, 1 hektárt meghaladó alapterületű, </w:t>
      </w:r>
      <w:r w:rsidR="004919A7" w:rsidRPr="004919A7">
        <w:t>művelés alól kivett ingatlanokra vonatkozó mentességet.</w:t>
      </w:r>
      <w:r w:rsidR="00FB43C9" w:rsidRPr="00FB43C9">
        <w:rPr>
          <w:color w:val="FF0000"/>
        </w:rPr>
        <w:t xml:space="preserve"> </w:t>
      </w:r>
      <w:bookmarkStart w:id="1" w:name="_Hlk24453552"/>
      <w:r w:rsidR="007A094C" w:rsidRPr="00F25A29">
        <w:rPr>
          <w:color w:val="000000"/>
        </w:rPr>
        <w:t xml:space="preserve">A </w:t>
      </w:r>
      <w:r w:rsidR="00867CE9">
        <w:rPr>
          <w:color w:val="000000"/>
        </w:rPr>
        <w:t xml:space="preserve">3. </w:t>
      </w:r>
      <w:r w:rsidR="007A094C" w:rsidRPr="00F25A29">
        <w:rPr>
          <w:color w:val="000000"/>
        </w:rPr>
        <w:t>§</w:t>
      </w:r>
      <w:bookmarkEnd w:id="1"/>
      <w:r w:rsidR="00AF18BE">
        <w:rPr>
          <w:color w:val="000000"/>
        </w:rPr>
        <w:t xml:space="preserve">-ban </w:t>
      </w:r>
      <w:r w:rsidR="001E4B7C" w:rsidRPr="00F25A29">
        <w:rPr>
          <w:color w:val="000000"/>
        </w:rPr>
        <w:t>került meghatározásra, hogy a módosult szabályokat elsőként a 201</w:t>
      </w:r>
      <w:r w:rsidR="00115154">
        <w:rPr>
          <w:color w:val="000000"/>
        </w:rPr>
        <w:t>9</w:t>
      </w:r>
      <w:r w:rsidR="001E4B7C" w:rsidRPr="00F25A29">
        <w:rPr>
          <w:color w:val="000000"/>
        </w:rPr>
        <w:t>. évi adó tekintetében kell alkalmazni.</w:t>
      </w:r>
      <w:r w:rsidR="00AF18BE" w:rsidRPr="00AF18BE">
        <w:rPr>
          <w:color w:val="000000"/>
        </w:rPr>
        <w:t xml:space="preserve"> </w:t>
      </w:r>
      <w:r w:rsidR="00AF18BE">
        <w:rPr>
          <w:color w:val="000000"/>
        </w:rPr>
        <w:t xml:space="preserve">A 4. § </w:t>
      </w:r>
      <w:r w:rsidR="00AF18BE" w:rsidRPr="00F25A29">
        <w:rPr>
          <w:color w:val="000000"/>
        </w:rPr>
        <w:t>tartalmazza a hatályba lépés napját</w:t>
      </w:r>
      <w:r w:rsidR="00D83F49">
        <w:rPr>
          <w:color w:val="000000"/>
        </w:rPr>
        <w:t>.</w:t>
      </w:r>
    </w:p>
    <w:p w:rsidR="00BD5AD3" w:rsidRDefault="00BD5AD3" w:rsidP="00AD4750">
      <w:pPr>
        <w:jc w:val="both"/>
        <w:rPr>
          <w:b/>
          <w:sz w:val="27"/>
          <w:szCs w:val="27"/>
        </w:rPr>
      </w:pPr>
    </w:p>
    <w:p w:rsidR="00CE2E32" w:rsidRDefault="00CE2E32" w:rsidP="00AD4750">
      <w:pPr>
        <w:jc w:val="both"/>
        <w:rPr>
          <w:b/>
          <w:sz w:val="27"/>
          <w:szCs w:val="27"/>
        </w:rPr>
      </w:pPr>
    </w:p>
    <w:p w:rsidR="006F45A1" w:rsidRPr="006F45A1" w:rsidRDefault="006F45A1" w:rsidP="006F45A1">
      <w:pPr>
        <w:jc w:val="both"/>
        <w:rPr>
          <w:b/>
          <w:bCs/>
        </w:rPr>
      </w:pPr>
      <w:r w:rsidRPr="006F45A1">
        <w:rPr>
          <w:b/>
          <w:bCs/>
        </w:rPr>
        <w:t>ELŐZETES HATÁSVIZSGÁLAT</w:t>
      </w:r>
    </w:p>
    <w:p w:rsidR="006F45A1" w:rsidRDefault="006F45A1" w:rsidP="006F45A1">
      <w:pPr>
        <w:jc w:val="both"/>
        <w:rPr>
          <w:b/>
          <w:bCs/>
        </w:rPr>
      </w:pPr>
    </w:p>
    <w:p w:rsidR="00A16AEF" w:rsidRPr="00E5324E" w:rsidRDefault="006B2127" w:rsidP="00A16AEF">
      <w:pPr>
        <w:contextualSpacing/>
        <w:jc w:val="both"/>
        <w:rPr>
          <w:color w:val="000000"/>
        </w:rPr>
      </w:pPr>
      <w:r>
        <w:rPr>
          <w:color w:val="000000"/>
        </w:rPr>
        <w:t>A helyi sajátosságok vizsgálata során megállapításra került, hogy a</w:t>
      </w:r>
      <w:r w:rsidR="00A16AEF" w:rsidRPr="00E5324E">
        <w:rPr>
          <w:color w:val="000000"/>
        </w:rPr>
        <w:t xml:space="preserve"> Kővágóörsi Közös Önkormányzati Hivatalhoz tartozó településeken a telekadó mértéke az alábbiak szerint alakul:</w:t>
      </w:r>
    </w:p>
    <w:p w:rsidR="00A16AEF" w:rsidRPr="00E5324E" w:rsidRDefault="00A16AEF" w:rsidP="00A16AEF">
      <w:pPr>
        <w:contextualSpacing/>
        <w:rPr>
          <w:color w:val="000000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A16AEF" w:rsidRPr="00E5324E" w:rsidTr="00B03EB2">
        <w:tc>
          <w:tcPr>
            <w:tcW w:w="1984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település</w:t>
            </w:r>
          </w:p>
        </w:tc>
        <w:tc>
          <w:tcPr>
            <w:tcW w:w="1843" w:type="dxa"/>
            <w:shd w:val="clear" w:color="auto" w:fill="auto"/>
          </w:tcPr>
          <w:p w:rsidR="00A16AEF" w:rsidRPr="00E5324E" w:rsidRDefault="00A16AEF" w:rsidP="00B03EB2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telek</w:t>
            </w:r>
          </w:p>
          <w:p w:rsidR="00A16AEF" w:rsidRPr="00E5324E" w:rsidRDefault="00A16AEF" w:rsidP="00B03EB2">
            <w:pPr>
              <w:contextualSpacing/>
              <w:jc w:val="center"/>
              <w:rPr>
                <w:rFonts w:eastAsia="Calibri"/>
                <w:color w:val="000000"/>
                <w:vertAlign w:val="superscript"/>
              </w:rPr>
            </w:pPr>
            <w:r w:rsidRPr="00E5324E">
              <w:rPr>
                <w:rFonts w:eastAsia="Calibri"/>
                <w:color w:val="000000"/>
              </w:rPr>
              <w:lastRenderedPageBreak/>
              <w:t>Ft/m</w:t>
            </w:r>
            <w:r w:rsidRPr="00E5324E">
              <w:rPr>
                <w:rFonts w:eastAsia="Calibri"/>
                <w:color w:val="000000"/>
                <w:vertAlign w:val="superscript"/>
              </w:rPr>
              <w:t>2</w:t>
            </w:r>
          </w:p>
        </w:tc>
      </w:tr>
      <w:tr w:rsidR="00A16AEF" w:rsidRPr="00E5324E" w:rsidTr="00B03EB2">
        <w:tc>
          <w:tcPr>
            <w:tcW w:w="1984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lastRenderedPageBreak/>
              <w:t>Balatonrendes</w:t>
            </w:r>
          </w:p>
        </w:tc>
        <w:tc>
          <w:tcPr>
            <w:tcW w:w="1843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30,-</w:t>
            </w:r>
          </w:p>
        </w:tc>
      </w:tr>
      <w:tr w:rsidR="00A16AEF" w:rsidRPr="00E5324E" w:rsidTr="00B03EB2">
        <w:tc>
          <w:tcPr>
            <w:tcW w:w="1984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Köveskál</w:t>
            </w:r>
          </w:p>
        </w:tc>
        <w:tc>
          <w:tcPr>
            <w:tcW w:w="1843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50,-</w:t>
            </w:r>
          </w:p>
        </w:tc>
      </w:tr>
      <w:tr w:rsidR="00A16AEF" w:rsidRPr="00E5324E" w:rsidTr="00B03EB2">
        <w:tc>
          <w:tcPr>
            <w:tcW w:w="1984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Mindszentkálla</w:t>
            </w:r>
          </w:p>
        </w:tc>
        <w:tc>
          <w:tcPr>
            <w:tcW w:w="1843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10,-</w:t>
            </w:r>
          </w:p>
        </w:tc>
      </w:tr>
      <w:tr w:rsidR="00A16AEF" w:rsidRPr="00E5324E" w:rsidTr="00B03EB2">
        <w:tc>
          <w:tcPr>
            <w:tcW w:w="1984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Kékkút</w:t>
            </w:r>
          </w:p>
        </w:tc>
        <w:tc>
          <w:tcPr>
            <w:tcW w:w="1843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-</w:t>
            </w:r>
          </w:p>
        </w:tc>
      </w:tr>
      <w:tr w:rsidR="00A16AEF" w:rsidRPr="00E5324E" w:rsidTr="00B03EB2">
        <w:tc>
          <w:tcPr>
            <w:tcW w:w="1984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Kővágóörs</w:t>
            </w:r>
          </w:p>
        </w:tc>
        <w:tc>
          <w:tcPr>
            <w:tcW w:w="1843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-</w:t>
            </w:r>
          </w:p>
        </w:tc>
      </w:tr>
      <w:tr w:rsidR="00A16AEF" w:rsidRPr="00E5324E" w:rsidTr="00B03EB2">
        <w:tc>
          <w:tcPr>
            <w:tcW w:w="1984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Révfülöp</w:t>
            </w:r>
          </w:p>
        </w:tc>
        <w:tc>
          <w:tcPr>
            <w:tcW w:w="1843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90,-</w:t>
            </w:r>
          </w:p>
        </w:tc>
      </w:tr>
      <w:tr w:rsidR="00A16AEF" w:rsidRPr="00E5324E" w:rsidTr="00B03EB2">
        <w:tc>
          <w:tcPr>
            <w:tcW w:w="1984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Salföld</w:t>
            </w:r>
          </w:p>
        </w:tc>
        <w:tc>
          <w:tcPr>
            <w:tcW w:w="1843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30,-</w:t>
            </w:r>
          </w:p>
        </w:tc>
      </w:tr>
      <w:tr w:rsidR="00A16AEF" w:rsidRPr="00E5324E" w:rsidTr="00B03EB2">
        <w:tc>
          <w:tcPr>
            <w:tcW w:w="1984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Szentbékkálla</w:t>
            </w:r>
          </w:p>
        </w:tc>
        <w:tc>
          <w:tcPr>
            <w:tcW w:w="1843" w:type="dxa"/>
            <w:shd w:val="clear" w:color="auto" w:fill="auto"/>
          </w:tcPr>
          <w:p w:rsidR="00A16AEF" w:rsidRPr="00E5324E" w:rsidRDefault="00A16AEF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 w:rsidRPr="00E5324E">
              <w:rPr>
                <w:rFonts w:eastAsia="Calibri"/>
                <w:color w:val="000000"/>
              </w:rPr>
              <w:t>10,-</w:t>
            </w:r>
          </w:p>
        </w:tc>
      </w:tr>
      <w:tr w:rsidR="004550C4" w:rsidRPr="00E5324E" w:rsidTr="00B03EB2">
        <w:tc>
          <w:tcPr>
            <w:tcW w:w="1984" w:type="dxa"/>
            <w:shd w:val="clear" w:color="auto" w:fill="auto"/>
          </w:tcPr>
          <w:p w:rsidR="004550C4" w:rsidRPr="00E5324E" w:rsidRDefault="004550C4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Balatonhenye</w:t>
            </w:r>
          </w:p>
        </w:tc>
        <w:tc>
          <w:tcPr>
            <w:tcW w:w="1843" w:type="dxa"/>
            <w:shd w:val="clear" w:color="auto" w:fill="auto"/>
          </w:tcPr>
          <w:p w:rsidR="004550C4" w:rsidRPr="00E5324E" w:rsidRDefault="004550C4" w:rsidP="00846689">
            <w:pPr>
              <w:spacing w:beforeAutospacing="1" w:afterAutospacing="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30,-</w:t>
            </w:r>
          </w:p>
        </w:tc>
      </w:tr>
    </w:tbl>
    <w:p w:rsidR="00A16AEF" w:rsidRPr="00E5324E" w:rsidRDefault="00A16AEF" w:rsidP="00A16AEF">
      <w:pPr>
        <w:contextualSpacing/>
        <w:rPr>
          <w:color w:val="000000"/>
        </w:rPr>
      </w:pPr>
    </w:p>
    <w:p w:rsidR="00A16AEF" w:rsidRPr="00E5324E" w:rsidRDefault="00D62406" w:rsidP="00A16AEF">
      <w:pPr>
        <w:contextualSpacing/>
        <w:jc w:val="both"/>
        <w:rPr>
          <w:color w:val="000000"/>
        </w:rPr>
      </w:pPr>
      <w:bookmarkStart w:id="2" w:name="_Hlk497897823"/>
      <w:r>
        <w:rPr>
          <w:color w:val="000000"/>
        </w:rPr>
        <w:t>Köveskál községben</w:t>
      </w:r>
      <w:r w:rsidR="00A16AEF" w:rsidRPr="00E5324E">
        <w:rPr>
          <w:color w:val="000000"/>
        </w:rPr>
        <w:t xml:space="preserve"> lévő ingatlanok forgalmi értéke a rendelkezésünkre álló adatok alapján hozzávetőlegesen az alábbiak szerint alakul (természetesen az egyes ingatlanok sajátosságaira, adottságaira figyelemmel az alábbi adatoktól jelentős eltérések is lehetnek):</w:t>
      </w:r>
    </w:p>
    <w:p w:rsidR="00A16AEF" w:rsidRPr="00E5324E" w:rsidRDefault="00A16AEF" w:rsidP="00A16AEF">
      <w:pPr>
        <w:contextualSpacing/>
        <w:rPr>
          <w:color w:val="000000"/>
        </w:rPr>
      </w:pPr>
    </w:p>
    <w:p w:rsidR="00A16AEF" w:rsidRPr="00E5324E" w:rsidRDefault="00A16AEF" w:rsidP="00A16AEF">
      <w:pPr>
        <w:numPr>
          <w:ilvl w:val="0"/>
          <w:numId w:val="41"/>
        </w:numPr>
        <w:contextualSpacing/>
        <w:rPr>
          <w:color w:val="000000"/>
        </w:rPr>
      </w:pPr>
      <w:r w:rsidRPr="00E5324E">
        <w:rPr>
          <w:color w:val="000000"/>
        </w:rPr>
        <w:t xml:space="preserve">beépítetlen belterületi ingatlanok: </w:t>
      </w:r>
    </w:p>
    <w:p w:rsidR="00A16AEF" w:rsidRPr="00E5324E" w:rsidRDefault="00A16AEF" w:rsidP="00A16AEF">
      <w:pPr>
        <w:numPr>
          <w:ilvl w:val="1"/>
          <w:numId w:val="41"/>
        </w:numPr>
        <w:contextualSpacing/>
        <w:rPr>
          <w:color w:val="000000"/>
        </w:rPr>
      </w:pPr>
      <w:r w:rsidRPr="00E5324E">
        <w:rPr>
          <w:color w:val="000000"/>
        </w:rPr>
        <w:t xml:space="preserve">beépíthető: </w:t>
      </w:r>
      <w:r w:rsidR="00C628B3">
        <w:rPr>
          <w:color w:val="000000"/>
        </w:rPr>
        <w:t>4.000 – 4.500</w:t>
      </w:r>
      <w:r w:rsidRPr="00E5324E">
        <w:rPr>
          <w:color w:val="000000"/>
        </w:rPr>
        <w:t xml:space="preserve"> Ft / m</w:t>
      </w:r>
      <w:r w:rsidRPr="00E5324E">
        <w:rPr>
          <w:color w:val="000000"/>
          <w:vertAlign w:val="superscript"/>
        </w:rPr>
        <w:t>2</w:t>
      </w:r>
    </w:p>
    <w:p w:rsidR="00A16AEF" w:rsidRPr="00E5324E" w:rsidRDefault="00A16AEF" w:rsidP="00A16AEF">
      <w:pPr>
        <w:numPr>
          <w:ilvl w:val="1"/>
          <w:numId w:val="41"/>
        </w:numPr>
        <w:contextualSpacing/>
        <w:rPr>
          <w:color w:val="000000"/>
        </w:rPr>
      </w:pPr>
      <w:r w:rsidRPr="00E5324E">
        <w:rPr>
          <w:color w:val="000000"/>
        </w:rPr>
        <w:t xml:space="preserve">nem beépíthető: </w:t>
      </w:r>
      <w:r w:rsidR="00C628B3">
        <w:rPr>
          <w:color w:val="000000"/>
        </w:rPr>
        <w:t xml:space="preserve">400 </w:t>
      </w:r>
      <w:r w:rsidRPr="00E5324E">
        <w:rPr>
          <w:color w:val="000000"/>
        </w:rPr>
        <w:t>– 1.</w:t>
      </w:r>
      <w:r w:rsidR="00C628B3">
        <w:rPr>
          <w:color w:val="000000"/>
        </w:rPr>
        <w:t>5</w:t>
      </w:r>
      <w:r w:rsidRPr="00E5324E">
        <w:rPr>
          <w:color w:val="000000"/>
        </w:rPr>
        <w:t>00 Ft / m</w:t>
      </w:r>
      <w:r w:rsidRPr="00E5324E">
        <w:rPr>
          <w:color w:val="000000"/>
          <w:vertAlign w:val="superscript"/>
        </w:rPr>
        <w:t>2</w:t>
      </w:r>
      <w:r w:rsidRPr="00E5324E">
        <w:rPr>
          <w:color w:val="000000"/>
        </w:rPr>
        <w:t xml:space="preserve"> </w:t>
      </w:r>
    </w:p>
    <w:bookmarkEnd w:id="2"/>
    <w:p w:rsidR="007D2367" w:rsidRDefault="007D2367" w:rsidP="00B470FB">
      <w:pPr>
        <w:spacing w:after="240"/>
        <w:contextualSpacing/>
        <w:jc w:val="both"/>
      </w:pPr>
    </w:p>
    <w:p w:rsidR="00B470FB" w:rsidRDefault="00190455" w:rsidP="00B470FB">
      <w:pPr>
        <w:spacing w:after="240"/>
        <w:contextualSpacing/>
        <w:jc w:val="both"/>
      </w:pPr>
      <w:r>
        <w:t>Megállapítható, hogy a Kő</w:t>
      </w:r>
      <w:r w:rsidR="003C7009">
        <w:t xml:space="preserve">vágóörsi Közös Önkormányzati Hivatalhoz tartozó, Köveskálhoz hasonló </w:t>
      </w:r>
      <w:r w:rsidR="0093470D">
        <w:t xml:space="preserve">adottságokkal rendelkező </w:t>
      </w:r>
      <w:r w:rsidR="003C7009">
        <w:t>településekhez képest az 50 Ft-os adómérték a legmagasabb</w:t>
      </w:r>
      <w:r w:rsidR="0093470D">
        <w:t>.</w:t>
      </w:r>
    </w:p>
    <w:p w:rsidR="006B2127" w:rsidRPr="00456B23" w:rsidRDefault="006B2127" w:rsidP="00B470FB">
      <w:pPr>
        <w:spacing w:after="240"/>
        <w:contextualSpacing/>
        <w:jc w:val="both"/>
      </w:pPr>
    </w:p>
    <w:p w:rsidR="006B2127" w:rsidRPr="009F6B91" w:rsidRDefault="006B2127" w:rsidP="00A16AEF">
      <w:pPr>
        <w:contextualSpacing/>
        <w:jc w:val="both"/>
        <w:rPr>
          <w:color w:val="000000"/>
        </w:rPr>
      </w:pPr>
      <w:r>
        <w:rPr>
          <w:color w:val="000000"/>
        </w:rPr>
        <w:t>Az önkormányzat gazdálkodásának vizsgálata során megállapításra került, hogy a helyi adónyilvántartásban jelenleg 64 db telekadó tárgy van, adóztatott m</w:t>
      </w:r>
      <w:r w:rsidRPr="006B2127">
        <w:rPr>
          <w:color w:val="000000"/>
          <w:vertAlign w:val="superscript"/>
        </w:rPr>
        <w:t>2</w:t>
      </w:r>
      <w:r>
        <w:rPr>
          <w:color w:val="000000"/>
        </w:rPr>
        <w:t xml:space="preserve"> : 134.074 m</w:t>
      </w:r>
      <w:r w:rsidRPr="006B2127">
        <w:rPr>
          <w:color w:val="000000"/>
          <w:vertAlign w:val="superscript"/>
        </w:rPr>
        <w:t>2</w:t>
      </w:r>
      <w:r w:rsidR="009F6B91" w:rsidRPr="009F6B91">
        <w:rPr>
          <w:color w:val="000000"/>
        </w:rPr>
        <w:t>.</w:t>
      </w:r>
      <w:r w:rsidRPr="009F6B91">
        <w:rPr>
          <w:color w:val="000000"/>
        </w:rPr>
        <w:t xml:space="preserve"> </w:t>
      </w:r>
    </w:p>
    <w:p w:rsidR="00A16AEF" w:rsidRDefault="006B2127" w:rsidP="00A16AEF">
      <w:pPr>
        <w:contextualSpacing/>
        <w:jc w:val="both"/>
        <w:rPr>
          <w:color w:val="000000"/>
        </w:rPr>
      </w:pPr>
      <w:r w:rsidRPr="006B2127">
        <w:rPr>
          <w:color w:val="000000"/>
        </w:rPr>
        <w:t>Kiveté</w:t>
      </w:r>
      <w:r w:rsidR="009F6B91">
        <w:rPr>
          <w:color w:val="000000"/>
        </w:rPr>
        <w:t>s</w:t>
      </w:r>
      <w:r w:rsidR="00F571D4">
        <w:rPr>
          <w:color w:val="000000"/>
        </w:rPr>
        <w:t>r</w:t>
      </w:r>
      <w:r w:rsidRPr="006B2127">
        <w:rPr>
          <w:color w:val="000000"/>
        </w:rPr>
        <w:t>e került 201</w:t>
      </w:r>
      <w:r w:rsidR="009F6B91">
        <w:rPr>
          <w:color w:val="000000"/>
        </w:rPr>
        <w:t>9. évben összesen 6.703.700 Ft telekadó</w:t>
      </w:r>
      <w:r w:rsidRPr="006B2127">
        <w:rPr>
          <w:color w:val="000000"/>
        </w:rPr>
        <w:t>.</w:t>
      </w:r>
    </w:p>
    <w:p w:rsidR="009F6B91" w:rsidRDefault="009F6B91" w:rsidP="00A16AEF">
      <w:pPr>
        <w:contextualSpacing/>
        <w:jc w:val="both"/>
        <w:rPr>
          <w:color w:val="000000"/>
        </w:rPr>
      </w:pPr>
    </w:p>
    <w:p w:rsidR="009F6B91" w:rsidRDefault="009F6B91" w:rsidP="00A16AEF">
      <w:pPr>
        <w:contextualSpacing/>
        <w:jc w:val="both"/>
        <w:rPr>
          <w:color w:val="000000"/>
        </w:rPr>
      </w:pPr>
      <w:r>
        <w:rPr>
          <w:color w:val="000000"/>
        </w:rPr>
        <w:t>A Képviselő-testület előzetes jelzése alapján 2 rendelet tervezet került előkészítésre.</w:t>
      </w:r>
    </w:p>
    <w:p w:rsidR="009F6B91" w:rsidRDefault="009F6B91" w:rsidP="003C1B16">
      <w:pPr>
        <w:spacing w:after="120"/>
        <w:ind w:left="708"/>
        <w:contextualSpacing/>
        <w:jc w:val="both"/>
        <w:rPr>
          <w:color w:val="000000"/>
        </w:rPr>
      </w:pPr>
      <w:r w:rsidRPr="00CE2E32">
        <w:rPr>
          <w:b/>
          <w:bCs/>
          <w:color w:val="000000"/>
          <w:u w:val="single"/>
        </w:rPr>
        <w:t>A verzió</w:t>
      </w:r>
      <w:r>
        <w:rPr>
          <w:color w:val="000000"/>
        </w:rPr>
        <w:t xml:space="preserve"> </w:t>
      </w:r>
      <w:r w:rsidR="003C1B16">
        <w:rPr>
          <w:color w:val="000000"/>
        </w:rPr>
        <w:t>esetén,</w:t>
      </w:r>
      <w:r>
        <w:rPr>
          <w:color w:val="000000"/>
        </w:rPr>
        <w:t xml:space="preserve"> a 10.000 m</w:t>
      </w:r>
      <w:r w:rsidRPr="009F6B91">
        <w:rPr>
          <w:color w:val="000000"/>
          <w:vertAlign w:val="superscript"/>
        </w:rPr>
        <w:t>2</w:t>
      </w:r>
      <w:r>
        <w:rPr>
          <w:color w:val="000000"/>
        </w:rPr>
        <w:t xml:space="preserve"> feletti adóköteles alapterület mentesítésével az önkormányzat megközelítőleg 1.700.000 Ft </w:t>
      </w:r>
      <w:r w:rsidR="007722B3">
        <w:rPr>
          <w:color w:val="000000"/>
        </w:rPr>
        <w:t xml:space="preserve">éves </w:t>
      </w:r>
      <w:r>
        <w:rPr>
          <w:color w:val="000000"/>
        </w:rPr>
        <w:t>telekadó bevételtől esne el.</w:t>
      </w:r>
    </w:p>
    <w:p w:rsidR="007722B3" w:rsidRPr="007722B3" w:rsidRDefault="007722B3" w:rsidP="007722B3">
      <w:pPr>
        <w:spacing w:before="120" w:after="360"/>
        <w:ind w:firstLine="708"/>
        <w:contextualSpacing/>
        <w:jc w:val="both"/>
        <w:rPr>
          <w:color w:val="000000"/>
          <w:sz w:val="16"/>
          <w:szCs w:val="16"/>
        </w:rPr>
      </w:pPr>
    </w:p>
    <w:p w:rsidR="009F6B91" w:rsidRPr="006B2127" w:rsidRDefault="009F6B91" w:rsidP="003C1B16">
      <w:pPr>
        <w:spacing w:before="120"/>
        <w:ind w:left="708"/>
        <w:contextualSpacing/>
        <w:jc w:val="both"/>
        <w:rPr>
          <w:color w:val="000000"/>
        </w:rPr>
      </w:pPr>
      <w:r w:rsidRPr="00CE2E32">
        <w:rPr>
          <w:b/>
          <w:bCs/>
          <w:color w:val="000000"/>
          <w:u w:val="single"/>
        </w:rPr>
        <w:t>B verzió</w:t>
      </w:r>
      <w:r>
        <w:rPr>
          <w:color w:val="000000"/>
        </w:rPr>
        <w:t xml:space="preserve"> elfogadása esetén, mely az 1 hektárt meghaladó alapterületű telkek adóköteles alapterületének 50 %</w:t>
      </w:r>
      <w:r w:rsidR="003C1B16">
        <w:rPr>
          <w:color w:val="000000"/>
        </w:rPr>
        <w:t>-</w:t>
      </w:r>
      <w:r>
        <w:rPr>
          <w:color w:val="000000"/>
        </w:rPr>
        <w:t>.át mentesítené a telekadó alól</w:t>
      </w:r>
      <w:r w:rsidR="003C1B16">
        <w:rPr>
          <w:color w:val="000000"/>
        </w:rPr>
        <w:t>,</w:t>
      </w:r>
      <w:r>
        <w:rPr>
          <w:color w:val="000000"/>
        </w:rPr>
        <w:t xml:space="preserve"> a kieső </w:t>
      </w:r>
      <w:r w:rsidR="007722B3">
        <w:rPr>
          <w:color w:val="000000"/>
        </w:rPr>
        <w:t xml:space="preserve">éves </w:t>
      </w:r>
      <w:r>
        <w:rPr>
          <w:color w:val="000000"/>
        </w:rPr>
        <w:t xml:space="preserve">telekadó bevétele összege várhatóan 1.100.000 Ft lenne. </w:t>
      </w:r>
    </w:p>
    <w:p w:rsidR="006B2127" w:rsidRDefault="006B2127" w:rsidP="00A16AEF">
      <w:pPr>
        <w:contextualSpacing/>
        <w:jc w:val="both"/>
        <w:rPr>
          <w:color w:val="000000"/>
        </w:rPr>
      </w:pPr>
    </w:p>
    <w:p w:rsidR="00A16AEF" w:rsidRPr="00766CBD" w:rsidRDefault="00E51FBD" w:rsidP="00766CBD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66CBD">
        <w:rPr>
          <w:color w:val="000000"/>
        </w:rPr>
        <w:t>A Htv. 7. § g) pontjában megfogalmazott korlátozásra tekintettel a</w:t>
      </w:r>
      <w:r w:rsidR="00A16AEF" w:rsidRPr="00766CBD">
        <w:rPr>
          <w:color w:val="000000"/>
        </w:rPr>
        <w:t xml:space="preserve"> </w:t>
      </w:r>
      <w:r w:rsidR="00355DF7" w:rsidRPr="00766CBD">
        <w:rPr>
          <w:color w:val="000000"/>
        </w:rPr>
        <w:t>t</w:t>
      </w:r>
      <w:r w:rsidR="00A16AEF" w:rsidRPr="00766CBD">
        <w:rPr>
          <w:color w:val="000000"/>
        </w:rPr>
        <w:t xml:space="preserve">elekadó megállapítása során </w:t>
      </w:r>
      <w:r w:rsidR="0093470D">
        <w:t>az adó mértékét</w:t>
      </w:r>
      <w:r w:rsidR="00D1227D">
        <w:t>,</w:t>
      </w:r>
      <w:r w:rsidR="0093470D">
        <w:t xml:space="preserve"> </w:t>
      </w:r>
      <w:r w:rsidR="00D1227D" w:rsidRPr="000E5E4D">
        <w:t xml:space="preserve">a rendeleti adómentességet és adókedvezményt </w:t>
      </w:r>
      <w:r w:rsidR="0093470D">
        <w:t xml:space="preserve">a helyi sajátosságokhoz, az önkormányzat gazdálkodási követelményeihez és az adóalanyok teherviselő képességéhez igazodóan - a Htv-ben meghatározott adómaximumra figyelemmel </w:t>
      </w:r>
      <w:r w:rsidR="00766CBD">
        <w:t>kell megállapítani.</w:t>
      </w:r>
    </w:p>
    <w:p w:rsidR="007722B3" w:rsidRDefault="007722B3" w:rsidP="00A16AEF">
      <w:pPr>
        <w:contextualSpacing/>
        <w:jc w:val="both"/>
        <w:rPr>
          <w:color w:val="000000"/>
        </w:rPr>
      </w:pPr>
    </w:p>
    <w:p w:rsidR="00E0496E" w:rsidRDefault="007722B3" w:rsidP="00E0496E">
      <w:pPr>
        <w:contextualSpacing/>
        <w:jc w:val="both"/>
        <w:rPr>
          <w:color w:val="000000"/>
        </w:rPr>
      </w:pPr>
      <w:r>
        <w:rPr>
          <w:color w:val="000000"/>
        </w:rPr>
        <w:t xml:space="preserve">Az adóalanyok teherviselő képességére figyelemmel a Képviselő-testület megállapította, hogy a </w:t>
      </w:r>
      <w:r w:rsidR="007E6FF6">
        <w:rPr>
          <w:color w:val="000000"/>
        </w:rPr>
        <w:t>Rendelet jelenleg nem tartalmaz olyan mentességet,</w:t>
      </w:r>
      <w:r w:rsidR="004124B1">
        <w:rPr>
          <w:color w:val="000000"/>
        </w:rPr>
        <w:t xml:space="preserve"> kedvezményt,</w:t>
      </w:r>
      <w:r w:rsidR="007E6FF6">
        <w:rPr>
          <w:color w:val="000000"/>
        </w:rPr>
        <w:t xml:space="preserve"> mely</w:t>
      </w:r>
      <w:r w:rsidR="004124B1">
        <w:rPr>
          <w:color w:val="000000"/>
        </w:rPr>
        <w:t>nek alkalmazásával</w:t>
      </w:r>
      <w:r w:rsidR="007E6FF6">
        <w:rPr>
          <w:color w:val="000000"/>
        </w:rPr>
        <w:t xml:space="preserve"> a kirívóan nagy alapterületű telkek tulajdonosai</w:t>
      </w:r>
      <w:r w:rsidR="004124B1">
        <w:rPr>
          <w:color w:val="000000"/>
        </w:rPr>
        <w:t xml:space="preserve"> terhére</w:t>
      </w:r>
      <w:r w:rsidR="00104E2F">
        <w:rPr>
          <w:color w:val="000000"/>
        </w:rPr>
        <w:t xml:space="preserve"> </w:t>
      </w:r>
      <w:r w:rsidR="004124B1">
        <w:rPr>
          <w:color w:val="000000"/>
        </w:rPr>
        <w:t xml:space="preserve">egy méltányosabb adóösszeg kerülne megállapításra. </w:t>
      </w:r>
      <w:r w:rsidR="00E0496E">
        <w:rPr>
          <w:color w:val="000000"/>
        </w:rPr>
        <w:t xml:space="preserve"> </w:t>
      </w:r>
    </w:p>
    <w:p w:rsidR="00E0496E" w:rsidRDefault="00E0496E" w:rsidP="00E0496E">
      <w:pPr>
        <w:contextualSpacing/>
        <w:jc w:val="both"/>
        <w:rPr>
          <w:color w:val="000000"/>
        </w:rPr>
      </w:pPr>
    </w:p>
    <w:p w:rsidR="00E51FBD" w:rsidRPr="00062BF9" w:rsidRDefault="00766CBD" w:rsidP="00A16AEF">
      <w:pPr>
        <w:contextualSpacing/>
        <w:jc w:val="both"/>
        <w:rPr>
          <w:color w:val="000000"/>
        </w:rPr>
      </w:pPr>
      <w:r>
        <w:rPr>
          <w:color w:val="000000"/>
        </w:rPr>
        <w:t xml:space="preserve">A Képviselő-testület szándékára figyelemmel </w:t>
      </w:r>
      <w:r w:rsidR="000F3413">
        <w:rPr>
          <w:color w:val="000000"/>
        </w:rPr>
        <w:t>javasolj</w:t>
      </w:r>
      <w:r w:rsidR="00CE2E32">
        <w:rPr>
          <w:color w:val="000000"/>
        </w:rPr>
        <w:t>uk</w:t>
      </w:r>
      <w:r w:rsidR="000F3413">
        <w:rPr>
          <w:color w:val="000000"/>
        </w:rPr>
        <w:t xml:space="preserve"> a</w:t>
      </w:r>
      <w:r w:rsidR="007722B3">
        <w:rPr>
          <w:color w:val="000000"/>
        </w:rPr>
        <w:t xml:space="preserve"> Rendelet</w:t>
      </w:r>
      <w:r w:rsidR="000F3413">
        <w:rPr>
          <w:color w:val="000000"/>
        </w:rPr>
        <w:t xml:space="preserve"> </w:t>
      </w:r>
      <w:r w:rsidR="007722B3">
        <w:rPr>
          <w:color w:val="000000"/>
        </w:rPr>
        <w:t>Jegyző által/Képviselő-testület által javasolt mentességgel történő kiegészítését.</w:t>
      </w:r>
      <w:r w:rsidR="00E51FBD">
        <w:rPr>
          <w:color w:val="000000"/>
        </w:rPr>
        <w:t xml:space="preserve"> </w:t>
      </w:r>
    </w:p>
    <w:p w:rsidR="00A16AEF" w:rsidRPr="006F45A1" w:rsidRDefault="00A16AEF" w:rsidP="006F45A1">
      <w:pPr>
        <w:jc w:val="both"/>
        <w:rPr>
          <w:b/>
          <w:bCs/>
        </w:rPr>
      </w:pPr>
    </w:p>
    <w:p w:rsidR="006F45A1" w:rsidRPr="00D1500E" w:rsidRDefault="006F45A1" w:rsidP="006F45A1">
      <w:pPr>
        <w:autoSpaceDE w:val="0"/>
        <w:autoSpaceDN w:val="0"/>
        <w:adjustRightInd w:val="0"/>
        <w:jc w:val="both"/>
      </w:pPr>
      <w:r w:rsidRPr="00D1500E">
        <w:rPr>
          <w:u w:val="single"/>
        </w:rPr>
        <w:t>Társadalmi hatás</w:t>
      </w:r>
      <w:r w:rsidRPr="00D1500E">
        <w:t>: A rendelet bevezetésével a</w:t>
      </w:r>
      <w:r>
        <w:t>z érintett</w:t>
      </w:r>
      <w:r w:rsidRPr="00D1500E">
        <w:t xml:space="preserve"> </w:t>
      </w:r>
      <w:r w:rsidR="00CC5966">
        <w:t>telektulajdono</w:t>
      </w:r>
      <w:r w:rsidR="008D6D50">
        <w:t>sok</w:t>
      </w:r>
      <w:r w:rsidRPr="00D1500E">
        <w:t xml:space="preserve"> terhei </w:t>
      </w:r>
      <w:r>
        <w:t>csökkennek</w:t>
      </w:r>
      <w:r w:rsidRPr="00D1500E">
        <w:t xml:space="preserve">, </w:t>
      </w:r>
      <w:r>
        <w:t xml:space="preserve">nő </w:t>
      </w:r>
      <w:r w:rsidRPr="00D1500E">
        <w:t>a lakosságnál maradó jövedelem.</w:t>
      </w:r>
    </w:p>
    <w:p w:rsidR="006F45A1" w:rsidRDefault="006F45A1" w:rsidP="006F45A1">
      <w:pPr>
        <w:autoSpaceDE w:val="0"/>
        <w:autoSpaceDN w:val="0"/>
        <w:adjustRightInd w:val="0"/>
        <w:jc w:val="both"/>
      </w:pPr>
      <w:r w:rsidRPr="00D1500E">
        <w:rPr>
          <w:u w:val="single"/>
        </w:rPr>
        <w:t>Gazdasági hatás</w:t>
      </w:r>
      <w:r w:rsidRPr="00D1500E">
        <w:t>: A tele</w:t>
      </w:r>
      <w:r>
        <w:t>k</w:t>
      </w:r>
      <w:r w:rsidRPr="00D1500E">
        <w:t xml:space="preserve">adó </w:t>
      </w:r>
      <w:r w:rsidR="00A17CF8">
        <w:t xml:space="preserve">mentességek </w:t>
      </w:r>
      <w:r>
        <w:t>körének bővítésével csökken</w:t>
      </w:r>
      <w:r w:rsidRPr="00D1500E">
        <w:t xml:space="preserve"> az önkormányzat</w:t>
      </w:r>
      <w:r>
        <w:t xml:space="preserve"> </w:t>
      </w:r>
      <w:r w:rsidRPr="00D1500E">
        <w:t>bevétele</w:t>
      </w:r>
      <w:r>
        <w:t>.</w:t>
      </w:r>
      <w:r w:rsidR="00A46A00">
        <w:t xml:space="preserve"> </w:t>
      </w:r>
      <w:r w:rsidRPr="00D1500E">
        <w:rPr>
          <w:u w:val="single"/>
        </w:rPr>
        <w:t>Költségvetési hatás</w:t>
      </w:r>
      <w:r w:rsidRPr="00D1500E">
        <w:t>: Az önkormányzat költségvetése</w:t>
      </w:r>
      <w:r>
        <w:t xml:space="preserve"> </w:t>
      </w:r>
      <w:r w:rsidRPr="00D1500E">
        <w:t xml:space="preserve">bevételi oldalról </w:t>
      </w:r>
      <w:r>
        <w:t>kevesebb</w:t>
      </w:r>
      <w:r w:rsidRPr="00D1500E">
        <w:t xml:space="preserve"> forráshoz jut</w:t>
      </w:r>
      <w:r>
        <w:t>.</w:t>
      </w:r>
      <w:r w:rsidRPr="00D1500E">
        <w:t xml:space="preserve"> </w:t>
      </w:r>
    </w:p>
    <w:p w:rsidR="006F45A1" w:rsidRDefault="006F45A1" w:rsidP="006F45A1">
      <w:pPr>
        <w:autoSpaceDE w:val="0"/>
        <w:autoSpaceDN w:val="0"/>
        <w:adjustRightInd w:val="0"/>
        <w:jc w:val="both"/>
      </w:pPr>
      <w:r w:rsidRPr="00D1500E">
        <w:rPr>
          <w:u w:val="single"/>
        </w:rPr>
        <w:t>Környezeti hatás</w:t>
      </w:r>
      <w:r w:rsidRPr="00D1500E">
        <w:t>: A rendelet bevezetésé</w:t>
      </w:r>
      <w:r>
        <w:t>nek környezeti hatása nincs.</w:t>
      </w:r>
    </w:p>
    <w:p w:rsidR="006F45A1" w:rsidRPr="00D1500E" w:rsidRDefault="006F45A1" w:rsidP="006F45A1">
      <w:pPr>
        <w:autoSpaceDE w:val="0"/>
        <w:autoSpaceDN w:val="0"/>
        <w:adjustRightInd w:val="0"/>
        <w:jc w:val="both"/>
      </w:pPr>
      <w:r w:rsidRPr="00D1500E">
        <w:rPr>
          <w:u w:val="single"/>
        </w:rPr>
        <w:t>Egészségi hatás</w:t>
      </w:r>
      <w:r w:rsidRPr="00D1500E">
        <w:t>: A rendelet bevezetésének egészségi hatása nincs.</w:t>
      </w:r>
    </w:p>
    <w:p w:rsidR="006F45A1" w:rsidRDefault="006F45A1" w:rsidP="006F45A1">
      <w:pPr>
        <w:autoSpaceDE w:val="0"/>
        <w:autoSpaceDN w:val="0"/>
        <w:adjustRightInd w:val="0"/>
        <w:jc w:val="both"/>
      </w:pPr>
      <w:r w:rsidRPr="00D1500E">
        <w:rPr>
          <w:u w:val="single"/>
        </w:rPr>
        <w:lastRenderedPageBreak/>
        <w:t>Adminisztratív terheket befolyásoló hatás</w:t>
      </w:r>
      <w:r w:rsidRPr="00D1500E">
        <w:t xml:space="preserve">: A rendelet megalkotása </w:t>
      </w:r>
      <w:r>
        <w:t xml:space="preserve">adminisztratív terheket ró </w:t>
      </w:r>
      <w:r w:rsidRPr="00D1500E">
        <w:t xml:space="preserve">az </w:t>
      </w:r>
      <w:r>
        <w:t xml:space="preserve">önkormányzati adóhatóságra, mely feladatokat </w:t>
      </w:r>
      <w:r w:rsidR="00A46A00">
        <w:t>Köveskál</w:t>
      </w:r>
      <w:r>
        <w:t xml:space="preserve"> község helyi adó ügyeit intéző adóügyi ügyintéző végzi. </w:t>
      </w:r>
    </w:p>
    <w:p w:rsidR="006F45A1" w:rsidRPr="00D1500E" w:rsidRDefault="006F45A1" w:rsidP="006F45A1">
      <w:pPr>
        <w:autoSpaceDE w:val="0"/>
        <w:autoSpaceDN w:val="0"/>
        <w:adjustRightInd w:val="0"/>
        <w:jc w:val="both"/>
      </w:pPr>
      <w:r w:rsidRPr="00D1500E">
        <w:rPr>
          <w:u w:val="single"/>
        </w:rPr>
        <w:t>A jogszabály megalkotásának szükségessége</w:t>
      </w:r>
      <w:r w:rsidRPr="00D1500E">
        <w:t xml:space="preserve">: A </w:t>
      </w:r>
      <w:r>
        <w:t>telek</w:t>
      </w:r>
      <w:r w:rsidRPr="00D1500E">
        <w:t>adó</w:t>
      </w:r>
      <w:r>
        <w:t xml:space="preserve"> mentességek körének meghatározása</w:t>
      </w:r>
      <w:r w:rsidRPr="00D1500E">
        <w:t xml:space="preserve"> a Képviselő</w:t>
      </w:r>
      <w:r>
        <w:t>-</w:t>
      </w:r>
      <w:r w:rsidRPr="00D1500E">
        <w:t>testület</w:t>
      </w:r>
      <w:r>
        <w:t xml:space="preserve"> </w:t>
      </w:r>
      <w:r w:rsidRPr="00D1500E">
        <w:t>hatásköre.</w:t>
      </w:r>
    </w:p>
    <w:p w:rsidR="006F45A1" w:rsidRDefault="006F45A1" w:rsidP="006F45A1">
      <w:pPr>
        <w:autoSpaceDE w:val="0"/>
        <w:autoSpaceDN w:val="0"/>
        <w:adjustRightInd w:val="0"/>
        <w:jc w:val="both"/>
      </w:pPr>
      <w:r w:rsidRPr="00D1500E">
        <w:rPr>
          <w:u w:val="single"/>
        </w:rPr>
        <w:t>A jogalkotás elmaradásának következményei:</w:t>
      </w:r>
      <w:r w:rsidRPr="00D1500E">
        <w:t xml:space="preserve"> A rendelet megalkotásának elmaradása</w:t>
      </w:r>
      <w:r>
        <w:t xml:space="preserve"> </w:t>
      </w:r>
      <w:r w:rsidRPr="00D1500E">
        <w:t xml:space="preserve">esetén </w:t>
      </w:r>
      <w:r w:rsidR="00C431D2">
        <w:t>a mentességek köre változatlan maradna.</w:t>
      </w:r>
    </w:p>
    <w:p w:rsidR="006F45A1" w:rsidRDefault="006F45A1" w:rsidP="006F45A1">
      <w:pPr>
        <w:autoSpaceDE w:val="0"/>
        <w:autoSpaceDN w:val="0"/>
        <w:adjustRightInd w:val="0"/>
        <w:jc w:val="both"/>
      </w:pPr>
      <w:r w:rsidRPr="00D1500E">
        <w:rPr>
          <w:u w:val="single"/>
        </w:rPr>
        <w:t>A jogszabály alkalmazásához szükséges személyi, szervezeti, tárgyi és pénzügyi feltételek</w:t>
      </w:r>
      <w:r w:rsidRPr="00D1500E">
        <w:t xml:space="preserve">: A rendelet a meglévő személyi </w:t>
      </w:r>
      <w:r w:rsidR="009F2703">
        <w:t xml:space="preserve">és szervezeti </w:t>
      </w:r>
      <w:r w:rsidRPr="00D1500E">
        <w:t xml:space="preserve">feltételekkel </w:t>
      </w:r>
      <w:r>
        <w:t>a</w:t>
      </w:r>
      <w:r w:rsidRPr="00D1500E">
        <w:t>lkalmazható. A tárgyi</w:t>
      </w:r>
      <w:r>
        <w:t xml:space="preserve">, pénzügyi </w:t>
      </w:r>
      <w:r w:rsidRPr="00D1500E">
        <w:t xml:space="preserve">feltételek rendelkezésre állnak. </w:t>
      </w:r>
    </w:p>
    <w:p w:rsidR="006F45A1" w:rsidRDefault="006F45A1" w:rsidP="006F45A1">
      <w:pPr>
        <w:jc w:val="both"/>
        <w:rPr>
          <w:color w:val="000000"/>
          <w:szCs w:val="20"/>
        </w:rPr>
      </w:pPr>
      <w:bookmarkStart w:id="3" w:name="_Hlk24705679"/>
    </w:p>
    <w:p w:rsidR="006F45A1" w:rsidRPr="006F45A1" w:rsidRDefault="006F45A1" w:rsidP="006F45A1">
      <w:r w:rsidRPr="006F45A1">
        <w:t>Kérem a Tisztelt Képviselő-testületet az előterjesztést megvitatni szíveskedjenek.</w:t>
      </w:r>
    </w:p>
    <w:p w:rsidR="0085369C" w:rsidRDefault="0085369C" w:rsidP="00164765">
      <w:pPr>
        <w:jc w:val="both"/>
      </w:pPr>
    </w:p>
    <w:p w:rsidR="00582907" w:rsidRPr="005824C4" w:rsidRDefault="00017440" w:rsidP="00582907">
      <w:pPr>
        <w:jc w:val="center"/>
        <w:rPr>
          <w:b/>
        </w:rPr>
      </w:pPr>
      <w:r>
        <w:rPr>
          <w:b/>
        </w:rPr>
        <w:t>Köveskál</w:t>
      </w:r>
      <w:r w:rsidR="00582907" w:rsidRPr="005824C4">
        <w:rPr>
          <w:b/>
        </w:rPr>
        <w:t xml:space="preserve"> </w:t>
      </w:r>
      <w:r w:rsidR="00582907">
        <w:rPr>
          <w:b/>
        </w:rPr>
        <w:t>Község</w:t>
      </w:r>
      <w:r w:rsidR="00582907" w:rsidRPr="005824C4">
        <w:rPr>
          <w:b/>
        </w:rPr>
        <w:t xml:space="preserve"> </w:t>
      </w:r>
      <w:r w:rsidR="00582907">
        <w:rPr>
          <w:b/>
        </w:rPr>
        <w:t>Önkormányzata</w:t>
      </w:r>
      <w:r w:rsidR="00582907" w:rsidRPr="005824C4">
        <w:rPr>
          <w:b/>
        </w:rPr>
        <w:t xml:space="preserve"> </w:t>
      </w:r>
      <w:r w:rsidR="00582907">
        <w:rPr>
          <w:b/>
        </w:rPr>
        <w:t>Képviselő-testületének</w:t>
      </w:r>
    </w:p>
    <w:p w:rsidR="00582907" w:rsidRPr="005824C4" w:rsidRDefault="00582907" w:rsidP="00582907">
      <w:pPr>
        <w:jc w:val="center"/>
        <w:rPr>
          <w:b/>
        </w:rPr>
      </w:pPr>
    </w:p>
    <w:p w:rsidR="00582907" w:rsidRDefault="00582907" w:rsidP="00582907">
      <w:pPr>
        <w:jc w:val="center"/>
        <w:rPr>
          <w:b/>
        </w:rPr>
      </w:pPr>
      <w:r>
        <w:rPr>
          <w:b/>
        </w:rPr>
        <w:t>…</w:t>
      </w:r>
      <w:r w:rsidRPr="005824C4">
        <w:rPr>
          <w:b/>
        </w:rPr>
        <w:t>/201</w:t>
      </w:r>
      <w:r w:rsidR="00C43126">
        <w:rPr>
          <w:b/>
        </w:rPr>
        <w:t>9</w:t>
      </w:r>
      <w:r w:rsidRPr="005824C4">
        <w:rPr>
          <w:b/>
        </w:rPr>
        <w:t>. (</w:t>
      </w:r>
      <w:r w:rsidR="00C43126">
        <w:rPr>
          <w:b/>
        </w:rPr>
        <w:t>XI.22.</w:t>
      </w:r>
      <w:r w:rsidRPr="005824C4">
        <w:rPr>
          <w:b/>
        </w:rPr>
        <w:t xml:space="preserve">) önkormányzati rendelete </w:t>
      </w:r>
    </w:p>
    <w:p w:rsidR="00582907" w:rsidRDefault="00582907" w:rsidP="00582907">
      <w:pPr>
        <w:jc w:val="center"/>
        <w:rPr>
          <w:b/>
        </w:rPr>
      </w:pPr>
    </w:p>
    <w:p w:rsidR="00582907" w:rsidRDefault="00582907" w:rsidP="00582907">
      <w:pPr>
        <w:jc w:val="center"/>
        <w:rPr>
          <w:b/>
        </w:rPr>
      </w:pPr>
      <w:r>
        <w:rPr>
          <w:b/>
        </w:rPr>
        <w:t>a helyi adókról</w:t>
      </w:r>
      <w:r w:rsidR="00A46A00">
        <w:rPr>
          <w:b/>
        </w:rPr>
        <w:t xml:space="preserve"> szóló 8/2014. </w:t>
      </w:r>
      <w:r w:rsidR="008D0D49">
        <w:rPr>
          <w:b/>
        </w:rPr>
        <w:t>(X</w:t>
      </w:r>
      <w:r w:rsidR="00A46A00">
        <w:rPr>
          <w:b/>
        </w:rPr>
        <w:t>. 13.</w:t>
      </w:r>
      <w:r w:rsidR="008D0D49">
        <w:rPr>
          <w:b/>
        </w:rPr>
        <w:t>) önkormányzati rendelete módosításáról</w:t>
      </w:r>
      <w:r>
        <w:rPr>
          <w:b/>
        </w:rPr>
        <w:t xml:space="preserve"> </w:t>
      </w:r>
    </w:p>
    <w:p w:rsidR="00582907" w:rsidRDefault="00582907" w:rsidP="00582907">
      <w:pPr>
        <w:jc w:val="center"/>
        <w:rPr>
          <w:b/>
        </w:rPr>
      </w:pPr>
      <w:bookmarkStart w:id="4" w:name="_Hlk24453123"/>
    </w:p>
    <w:p w:rsidR="00582907" w:rsidRDefault="00A46A00" w:rsidP="00582907">
      <w:pPr>
        <w:jc w:val="both"/>
      </w:pPr>
      <w:r>
        <w:t xml:space="preserve">Köveskál </w:t>
      </w:r>
      <w:r w:rsidR="00582907">
        <w:t>Község Önkormányzata Képviselő-testülete a helyi adókról szóló 1990. évi C. törvény 1. § (1) bekezdésében kapott felhatalmazás alapján az Alaptörvény 32. cikk (1) bekezdés h) pontjában meghatározott feladatkörében eljárva a következőket rendeli el:</w:t>
      </w:r>
    </w:p>
    <w:p w:rsidR="00C431D2" w:rsidRDefault="00C431D2" w:rsidP="00C431D2">
      <w:pPr>
        <w:jc w:val="both"/>
      </w:pPr>
    </w:p>
    <w:p w:rsidR="004919A7" w:rsidRDefault="00C431D2" w:rsidP="004919A7">
      <w:pPr>
        <w:jc w:val="both"/>
      </w:pPr>
      <w:r>
        <w:t xml:space="preserve">1. § </w:t>
      </w:r>
      <w:r w:rsidR="004919A7">
        <w:t xml:space="preserve">Köveskál Község Önkormányzata Képviselő-testületének a helyi adókról szóló </w:t>
      </w:r>
      <w:r w:rsidR="004919A7">
        <w:br/>
        <w:t xml:space="preserve">8/2014. (X. 13.) önkormányzati rendelete (a továbbiakban: Rendelet) 4. § (4) bekezdése helyébe a következő rendelkezés lép: </w:t>
      </w:r>
    </w:p>
    <w:p w:rsidR="004919A7" w:rsidRDefault="004919A7" w:rsidP="004919A7">
      <w:pPr>
        <w:jc w:val="both"/>
      </w:pPr>
      <w:r>
        <w:t>„(4) A (3)</w:t>
      </w:r>
      <w:r w:rsidR="00C43126">
        <w:t xml:space="preserve">, </w:t>
      </w:r>
      <w:r>
        <w:t>(5)</w:t>
      </w:r>
      <w:r w:rsidR="00C43126">
        <w:t xml:space="preserve"> és (6) </w:t>
      </w:r>
      <w:r>
        <w:t>bekezdés nem alkalmazható a vállalkozó üzleti célt szolgáló telke utáni telekadó megállapítása során.”</w:t>
      </w:r>
    </w:p>
    <w:p w:rsidR="004919A7" w:rsidRPr="00131E4D" w:rsidRDefault="004919A7" w:rsidP="004919A7">
      <w:pPr>
        <w:jc w:val="both"/>
      </w:pPr>
    </w:p>
    <w:p w:rsidR="000E5E4D" w:rsidRDefault="004919A7" w:rsidP="000E5E4D">
      <w:pPr>
        <w:jc w:val="both"/>
        <w:rPr>
          <w:color w:val="000000"/>
        </w:rPr>
      </w:pPr>
      <w:r>
        <w:t>2. §  A</w:t>
      </w:r>
      <w:r w:rsidR="008D6D50">
        <w:t xml:space="preserve"> Rendelet</w:t>
      </w:r>
      <w:r>
        <w:t xml:space="preserve"> 4. </w:t>
      </w:r>
      <w:r w:rsidR="000E5E4D">
        <w:rPr>
          <w:color w:val="000000"/>
        </w:rPr>
        <w:t xml:space="preserve">§-a </w:t>
      </w:r>
      <w:proofErr w:type="spellStart"/>
      <w:r w:rsidR="000E5E4D">
        <w:rPr>
          <w:color w:val="000000"/>
        </w:rPr>
        <w:t>a</w:t>
      </w:r>
      <w:proofErr w:type="spellEnd"/>
      <w:r w:rsidR="000E5E4D">
        <w:rPr>
          <w:color w:val="000000"/>
        </w:rPr>
        <w:t xml:space="preserve"> következő (</w:t>
      </w:r>
      <w:r w:rsidR="00C43126">
        <w:rPr>
          <w:color w:val="000000"/>
        </w:rPr>
        <w:t>6</w:t>
      </w:r>
      <w:r w:rsidR="000E5E4D">
        <w:rPr>
          <w:color w:val="000000"/>
        </w:rPr>
        <w:t>) bekezdéssel egészül ki:</w:t>
      </w:r>
    </w:p>
    <w:p w:rsidR="00766CBD" w:rsidRDefault="00D83F49" w:rsidP="00D83F49">
      <w:pPr>
        <w:jc w:val="both"/>
        <w:rPr>
          <w:color w:val="000000"/>
        </w:rPr>
      </w:pPr>
      <w:r>
        <w:t>„</w:t>
      </w:r>
      <w:r w:rsidR="000E5E4D">
        <w:t>(</w:t>
      </w:r>
      <w:r w:rsidR="00C43126">
        <w:t>6</w:t>
      </w:r>
      <w:r w:rsidR="000E5E4D">
        <w:t xml:space="preserve">) </w:t>
      </w:r>
      <w:r w:rsidR="00766CBD">
        <w:t>M</w:t>
      </w:r>
      <w:r w:rsidR="00766CBD" w:rsidRPr="004919A7">
        <w:t>entes a telekadó alól a</w:t>
      </w:r>
      <w:r w:rsidR="00766CBD">
        <w:t>z ingatlan nyilvántartásban mezőgazdasági művelés alól kivett-ként</w:t>
      </w:r>
      <w:r>
        <w:t xml:space="preserve"> </w:t>
      </w:r>
      <w:r w:rsidR="00766CBD">
        <w:t>szereplő beépítetlen belterületi telek adóköteles alapterületének 10.000 m</w:t>
      </w:r>
      <w:r w:rsidR="00766CBD" w:rsidRPr="0093470D">
        <w:rPr>
          <w:vertAlign w:val="superscript"/>
        </w:rPr>
        <w:t>2</w:t>
      </w:r>
      <w:r w:rsidR="00766CBD">
        <w:t xml:space="preserve"> feletti része.</w:t>
      </w:r>
      <w:r>
        <w:t>”</w:t>
      </w:r>
    </w:p>
    <w:p w:rsidR="004124B1" w:rsidRDefault="004124B1" w:rsidP="004124B1">
      <w:pPr>
        <w:ind w:left="360"/>
        <w:jc w:val="both"/>
        <w:rPr>
          <w:bCs/>
        </w:rPr>
      </w:pPr>
    </w:p>
    <w:p w:rsidR="00C43126" w:rsidRDefault="00C43126" w:rsidP="00C43126">
      <w:pPr>
        <w:jc w:val="both"/>
        <w:rPr>
          <w:bCs/>
        </w:rPr>
      </w:pPr>
      <w:r>
        <w:rPr>
          <w:bCs/>
        </w:rPr>
        <w:t>3</w:t>
      </w:r>
      <w:r w:rsidRPr="006D17F7">
        <w:rPr>
          <w:bCs/>
        </w:rPr>
        <w:t xml:space="preserve">. §  </w:t>
      </w:r>
      <w:r>
        <w:rPr>
          <w:bCs/>
        </w:rPr>
        <w:t xml:space="preserve">A Rendelet a következő </w:t>
      </w:r>
      <w:r w:rsidR="00D53F53">
        <w:rPr>
          <w:bCs/>
        </w:rPr>
        <w:t>9</w:t>
      </w:r>
      <w:r>
        <w:rPr>
          <w:bCs/>
        </w:rPr>
        <w:t>. §-sal  egészül ki:</w:t>
      </w:r>
    </w:p>
    <w:p w:rsidR="00C43126" w:rsidRPr="006D17F7" w:rsidRDefault="00C43126" w:rsidP="00C43126">
      <w:pPr>
        <w:jc w:val="both"/>
      </w:pPr>
      <w:bookmarkStart w:id="5" w:name="_Hlk24711712"/>
      <w:r>
        <w:rPr>
          <w:bCs/>
        </w:rPr>
        <w:t>„</w:t>
      </w:r>
      <w:r w:rsidR="00D53F53">
        <w:rPr>
          <w:bCs/>
        </w:rPr>
        <w:t>9</w:t>
      </w:r>
      <w:r>
        <w:rPr>
          <w:bCs/>
        </w:rPr>
        <w:t xml:space="preserve">. § </w:t>
      </w:r>
      <w:r w:rsidR="007722B3">
        <w:rPr>
          <w:bCs/>
        </w:rPr>
        <w:t>E rendeletnek a helyi adókról szóló 8/2014. (X.13.) önkormányzati rendelet módosításáról szóló …/2019.(XI.22.) önkormányzati rendelet 2. §-</w:t>
      </w:r>
      <w:proofErr w:type="spellStart"/>
      <w:r w:rsidR="007722B3">
        <w:rPr>
          <w:bCs/>
        </w:rPr>
        <w:t>ával</w:t>
      </w:r>
      <w:proofErr w:type="spellEnd"/>
      <w:r w:rsidR="007722B3">
        <w:rPr>
          <w:bCs/>
        </w:rPr>
        <w:t xml:space="preserve"> megállapított 4. § (6) bekezdését elsőként a 2019. évre vonatkozó telekadó megállapítása során kell alkalmazni.</w:t>
      </w:r>
      <w:r w:rsidR="003C1B16">
        <w:rPr>
          <w:bCs/>
        </w:rPr>
        <w:t>”</w:t>
      </w:r>
    </w:p>
    <w:bookmarkEnd w:id="5"/>
    <w:p w:rsidR="004919A7" w:rsidRDefault="004919A7" w:rsidP="00BE19CC">
      <w:pPr>
        <w:jc w:val="both"/>
        <w:rPr>
          <w:rStyle w:val="Kiemels2"/>
          <w:b w:val="0"/>
        </w:rPr>
      </w:pPr>
    </w:p>
    <w:p w:rsidR="00BE19CC" w:rsidRDefault="00D53F53" w:rsidP="00BE19CC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4</w:t>
      </w:r>
      <w:r w:rsidR="00BE19CC">
        <w:rPr>
          <w:rStyle w:val="Kiemels2"/>
          <w:b w:val="0"/>
        </w:rPr>
        <w:t xml:space="preserve">. § </w:t>
      </w:r>
      <w:r w:rsidR="009A58EE">
        <w:rPr>
          <w:rStyle w:val="Kiemels2"/>
          <w:b w:val="0"/>
        </w:rPr>
        <w:t xml:space="preserve"> </w:t>
      </w:r>
      <w:r w:rsidR="00BE19CC">
        <w:rPr>
          <w:rStyle w:val="Kiemels2"/>
          <w:b w:val="0"/>
        </w:rPr>
        <w:t>Ez a rendelet a kihirdetést követő napon lép hatályba.</w:t>
      </w:r>
    </w:p>
    <w:p w:rsidR="00BE19CC" w:rsidRDefault="00BE19CC" w:rsidP="00C431D2">
      <w:pPr>
        <w:pStyle w:val="Szvegtrzs"/>
      </w:pPr>
    </w:p>
    <w:p w:rsidR="00582907" w:rsidRDefault="00582907" w:rsidP="00582907">
      <w:pPr>
        <w:jc w:val="both"/>
      </w:pPr>
      <w:r>
        <w:t xml:space="preserve"> </w:t>
      </w:r>
      <w:bookmarkEnd w:id="4"/>
    </w:p>
    <w:p w:rsidR="00582907" w:rsidRDefault="00C43126" w:rsidP="00C43126">
      <w:pPr>
        <w:ind w:firstLine="708"/>
        <w:jc w:val="both"/>
      </w:pPr>
      <w:r>
        <w:t>Györffy Szabolcs Zoltán</w:t>
      </w:r>
      <w:r w:rsidR="00A46A00">
        <w:tab/>
      </w:r>
      <w:r w:rsidR="00A46A00">
        <w:tab/>
      </w:r>
      <w:r w:rsidR="00A46A00">
        <w:tab/>
      </w:r>
      <w:r w:rsidR="00A46A00">
        <w:tab/>
      </w:r>
      <w:r w:rsidR="00A46A00">
        <w:tab/>
      </w:r>
      <w:r>
        <w:t>dr. Szabó Tímea</w:t>
      </w:r>
    </w:p>
    <w:p w:rsidR="00582907" w:rsidRDefault="00C43126" w:rsidP="00C43126">
      <w:pPr>
        <w:ind w:firstLine="708"/>
        <w:jc w:val="both"/>
      </w:pPr>
      <w:r>
        <w:t xml:space="preserve">         </w:t>
      </w:r>
      <w:r w:rsidR="00582907">
        <w:t>polgármester</w:t>
      </w:r>
      <w:r w:rsidR="00582907">
        <w:tab/>
      </w:r>
      <w:r w:rsidR="00582907">
        <w:tab/>
      </w:r>
      <w:r w:rsidR="00582907">
        <w:tab/>
      </w:r>
      <w:r w:rsidR="00582907">
        <w:tab/>
      </w:r>
      <w:r w:rsidR="00582907">
        <w:tab/>
      </w:r>
      <w:r w:rsidR="00582907">
        <w:tab/>
      </w:r>
      <w:r>
        <w:t xml:space="preserve">       </w:t>
      </w:r>
      <w:r w:rsidR="00582907">
        <w:t>jegyző</w:t>
      </w:r>
      <w:r w:rsidR="00A46A00">
        <w:t xml:space="preserve"> </w:t>
      </w:r>
    </w:p>
    <w:p w:rsidR="00582907" w:rsidRDefault="00582907" w:rsidP="00582907">
      <w:pPr>
        <w:jc w:val="both"/>
      </w:pPr>
    </w:p>
    <w:p w:rsidR="001E4B7C" w:rsidRDefault="001E4B7C" w:rsidP="00582907">
      <w:pPr>
        <w:jc w:val="both"/>
      </w:pPr>
    </w:p>
    <w:p w:rsidR="003C1B16" w:rsidRDefault="003C1B16" w:rsidP="00582907">
      <w:pPr>
        <w:jc w:val="both"/>
      </w:pPr>
    </w:p>
    <w:p w:rsidR="00582907" w:rsidRDefault="00582907" w:rsidP="00582907">
      <w:pPr>
        <w:jc w:val="both"/>
      </w:pPr>
      <w:r>
        <w:t>A kihirdetés napja: 201</w:t>
      </w:r>
      <w:r w:rsidR="00C43126">
        <w:t>9</w:t>
      </w:r>
      <w:r>
        <w:t xml:space="preserve">. ………………… </w:t>
      </w:r>
    </w:p>
    <w:p w:rsidR="001E4B7C" w:rsidRDefault="001E4B7C" w:rsidP="00582907">
      <w:pPr>
        <w:jc w:val="both"/>
      </w:pPr>
    </w:p>
    <w:p w:rsidR="00582907" w:rsidRDefault="00582907" w:rsidP="005829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A00">
        <w:t xml:space="preserve">  </w:t>
      </w:r>
      <w:r w:rsidR="00C43126">
        <w:t>dr. Szabó Tímea</w:t>
      </w:r>
    </w:p>
    <w:bookmarkEnd w:id="3"/>
    <w:p w:rsidR="00582907" w:rsidRDefault="00A46A00" w:rsidP="005829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126">
        <w:tab/>
      </w:r>
      <w:r>
        <w:t xml:space="preserve">  </w:t>
      </w:r>
      <w:r w:rsidR="00582907">
        <w:t xml:space="preserve">       jegyző</w:t>
      </w:r>
    </w:p>
    <w:p w:rsidR="003C1B16" w:rsidRDefault="003C1B16" w:rsidP="000F39A5"/>
    <w:p w:rsidR="003C1B16" w:rsidRDefault="003C1B16" w:rsidP="000F39A5"/>
    <w:p w:rsidR="000F39A5" w:rsidRPr="006F45A1" w:rsidRDefault="000F39A5" w:rsidP="000F39A5">
      <w:r w:rsidRPr="006F45A1">
        <w:lastRenderedPageBreak/>
        <w:t>Kérem a Tisztelt Képviselő-testületet az előterjesztést megvitatni szíveskedjenek.</w:t>
      </w:r>
    </w:p>
    <w:p w:rsidR="000F39A5" w:rsidRDefault="000F39A5" w:rsidP="000F39A5">
      <w:pPr>
        <w:jc w:val="both"/>
      </w:pPr>
    </w:p>
    <w:p w:rsidR="000F39A5" w:rsidRPr="005824C4" w:rsidRDefault="000F39A5" w:rsidP="000F39A5">
      <w:pPr>
        <w:jc w:val="center"/>
        <w:rPr>
          <w:b/>
        </w:rPr>
      </w:pPr>
      <w:r>
        <w:rPr>
          <w:b/>
        </w:rPr>
        <w:t>Köveskál</w:t>
      </w:r>
      <w:r w:rsidRPr="005824C4">
        <w:rPr>
          <w:b/>
        </w:rPr>
        <w:t xml:space="preserve"> </w:t>
      </w:r>
      <w:r>
        <w:rPr>
          <w:b/>
        </w:rPr>
        <w:t>Község</w:t>
      </w:r>
      <w:r w:rsidRPr="005824C4">
        <w:rPr>
          <w:b/>
        </w:rPr>
        <w:t xml:space="preserve"> </w:t>
      </w:r>
      <w:r>
        <w:rPr>
          <w:b/>
        </w:rPr>
        <w:t>Önkormányzata</w:t>
      </w:r>
      <w:r w:rsidRPr="005824C4">
        <w:rPr>
          <w:b/>
        </w:rPr>
        <w:t xml:space="preserve"> </w:t>
      </w:r>
      <w:r>
        <w:rPr>
          <w:b/>
        </w:rPr>
        <w:t>Képviselő-testületének</w:t>
      </w:r>
    </w:p>
    <w:p w:rsidR="000F39A5" w:rsidRPr="005824C4" w:rsidRDefault="000F39A5" w:rsidP="000F39A5">
      <w:pPr>
        <w:jc w:val="center"/>
        <w:rPr>
          <w:b/>
        </w:rPr>
      </w:pPr>
    </w:p>
    <w:p w:rsidR="000F39A5" w:rsidRDefault="000F39A5" w:rsidP="000F39A5">
      <w:pPr>
        <w:jc w:val="center"/>
        <w:rPr>
          <w:b/>
        </w:rPr>
      </w:pPr>
      <w:r>
        <w:rPr>
          <w:b/>
        </w:rPr>
        <w:t>…</w:t>
      </w:r>
      <w:r w:rsidRPr="005824C4">
        <w:rPr>
          <w:b/>
        </w:rPr>
        <w:t>/201</w:t>
      </w:r>
      <w:r>
        <w:rPr>
          <w:b/>
        </w:rPr>
        <w:t>9</w:t>
      </w:r>
      <w:r w:rsidRPr="005824C4">
        <w:rPr>
          <w:b/>
        </w:rPr>
        <w:t>. (</w:t>
      </w:r>
      <w:r>
        <w:rPr>
          <w:b/>
        </w:rPr>
        <w:t>XI.22.</w:t>
      </w:r>
      <w:r w:rsidRPr="005824C4">
        <w:rPr>
          <w:b/>
        </w:rPr>
        <w:t xml:space="preserve">) önkormányzati rendelete </w:t>
      </w:r>
    </w:p>
    <w:p w:rsidR="000F39A5" w:rsidRDefault="000F39A5" w:rsidP="000F39A5">
      <w:pPr>
        <w:jc w:val="center"/>
        <w:rPr>
          <w:b/>
        </w:rPr>
      </w:pPr>
    </w:p>
    <w:p w:rsidR="000F39A5" w:rsidRDefault="000F39A5" w:rsidP="000F39A5">
      <w:pPr>
        <w:jc w:val="center"/>
        <w:rPr>
          <w:b/>
        </w:rPr>
      </w:pPr>
      <w:r>
        <w:rPr>
          <w:b/>
        </w:rPr>
        <w:t xml:space="preserve">a helyi adókról szóló 8/2014. (X. 13.) önkormányzati rendelete módosításáról </w:t>
      </w:r>
    </w:p>
    <w:p w:rsidR="000F39A5" w:rsidRDefault="000F39A5" w:rsidP="000F39A5">
      <w:pPr>
        <w:jc w:val="center"/>
        <w:rPr>
          <w:b/>
        </w:rPr>
      </w:pPr>
    </w:p>
    <w:p w:rsidR="000F39A5" w:rsidRDefault="000F39A5" w:rsidP="000F39A5">
      <w:pPr>
        <w:jc w:val="both"/>
      </w:pPr>
      <w:r>
        <w:t>Köveskál Község Önkormányzata Képviselő-testülete a helyi adókról szóló 1990. évi C. törvény 1. § (1) bekezdésében kapott felhatalmazás alapján az Alaptörvény 32. cikk (1) bekezdés h) pontjában meghatározott feladatkörében eljárva a következőket rendeli el:</w:t>
      </w:r>
    </w:p>
    <w:p w:rsidR="000F39A5" w:rsidRDefault="000F39A5" w:rsidP="000F39A5">
      <w:pPr>
        <w:jc w:val="both"/>
      </w:pPr>
    </w:p>
    <w:p w:rsidR="000F39A5" w:rsidRDefault="000F39A5" w:rsidP="000F39A5">
      <w:pPr>
        <w:jc w:val="both"/>
      </w:pPr>
      <w:r>
        <w:t xml:space="preserve">1. § Köveskál Község Önkormányzata Képviselő-testületének a helyi adókról szóló </w:t>
      </w:r>
      <w:r>
        <w:br/>
        <w:t xml:space="preserve">8/2014. (X. 13.) önkormányzati rendelete (a továbbiakban: Rendelet) 4. § (4) bekezdése helyébe a következő rendelkezés lép: </w:t>
      </w:r>
    </w:p>
    <w:p w:rsidR="000F39A5" w:rsidRDefault="000F39A5" w:rsidP="000F39A5">
      <w:pPr>
        <w:jc w:val="both"/>
      </w:pPr>
      <w:r>
        <w:t>„(4) A (3), (5) és (6) bekezdés nem alkalmazható a vállalkozó üzleti célt szolgáló telke utáni telekadó megállapítása során.”</w:t>
      </w:r>
    </w:p>
    <w:p w:rsidR="000F39A5" w:rsidRPr="00131E4D" w:rsidRDefault="000F39A5" w:rsidP="000F39A5">
      <w:pPr>
        <w:jc w:val="both"/>
      </w:pPr>
    </w:p>
    <w:p w:rsidR="000F39A5" w:rsidRDefault="000F39A5" w:rsidP="000F39A5">
      <w:pPr>
        <w:jc w:val="both"/>
        <w:rPr>
          <w:color w:val="000000"/>
        </w:rPr>
      </w:pPr>
      <w:r>
        <w:t xml:space="preserve">2. §  A Rendelet 4. </w:t>
      </w:r>
      <w:r>
        <w:rPr>
          <w:color w:val="000000"/>
        </w:rPr>
        <w:t xml:space="preserve">§-a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következő (6) bekezdéssel egészül ki:</w:t>
      </w:r>
    </w:p>
    <w:p w:rsidR="000F39A5" w:rsidRPr="002A0626" w:rsidRDefault="000F39A5" w:rsidP="00D83F49">
      <w:pPr>
        <w:jc w:val="both"/>
        <w:rPr>
          <w:color w:val="000000"/>
        </w:rPr>
      </w:pPr>
      <w:r w:rsidRPr="002A0626">
        <w:rPr>
          <w:color w:val="000000"/>
        </w:rPr>
        <w:t>„(6) Mentes a telekadó alól az ingatlan nyilvántartásban mezőgazdasági művelés alól kivett-ként</w:t>
      </w:r>
      <w:r>
        <w:rPr>
          <w:color w:val="000000"/>
        </w:rPr>
        <w:t xml:space="preserve"> </w:t>
      </w:r>
      <w:r w:rsidRPr="002A0626">
        <w:rPr>
          <w:color w:val="000000"/>
        </w:rPr>
        <w:t>szereplő, 1 hektárt meghaladó alapterületű beépítetlen belterületi telek adóköteles alapterületének 50 %-a</w:t>
      </w:r>
      <w:r>
        <w:rPr>
          <w:color w:val="000000"/>
        </w:rPr>
        <w:t>”</w:t>
      </w:r>
    </w:p>
    <w:p w:rsidR="000F39A5" w:rsidRDefault="000F39A5" w:rsidP="000F39A5">
      <w:pPr>
        <w:ind w:left="360"/>
        <w:jc w:val="both"/>
        <w:rPr>
          <w:bCs/>
        </w:rPr>
      </w:pPr>
    </w:p>
    <w:p w:rsidR="000F39A5" w:rsidRDefault="000F39A5" w:rsidP="000F39A5">
      <w:pPr>
        <w:jc w:val="both"/>
        <w:rPr>
          <w:bCs/>
        </w:rPr>
      </w:pPr>
      <w:r>
        <w:rPr>
          <w:bCs/>
        </w:rPr>
        <w:t>3</w:t>
      </w:r>
      <w:r w:rsidRPr="006D17F7">
        <w:rPr>
          <w:bCs/>
        </w:rPr>
        <w:t xml:space="preserve">. §  </w:t>
      </w:r>
      <w:r>
        <w:rPr>
          <w:bCs/>
        </w:rPr>
        <w:t>A Rendelet a következő 9. §-</w:t>
      </w:r>
      <w:proofErr w:type="spellStart"/>
      <w:r>
        <w:rPr>
          <w:bCs/>
        </w:rPr>
        <w:t>sal</w:t>
      </w:r>
      <w:proofErr w:type="spellEnd"/>
      <w:r>
        <w:rPr>
          <w:bCs/>
        </w:rPr>
        <w:t xml:space="preserve">  egészül ki:</w:t>
      </w:r>
    </w:p>
    <w:p w:rsidR="003C1B16" w:rsidRPr="006D17F7" w:rsidRDefault="003C1B16" w:rsidP="003C1B16">
      <w:pPr>
        <w:jc w:val="both"/>
      </w:pPr>
      <w:r>
        <w:rPr>
          <w:bCs/>
        </w:rPr>
        <w:t>„9. § E rendeletnek a helyi adókról szóló 8/2014. (X.13.) önkormányzati rendelet módosításáról szóló …/2019.(XI.22.) önkormányzati rendelet 2. §-</w:t>
      </w:r>
      <w:proofErr w:type="spellStart"/>
      <w:r>
        <w:rPr>
          <w:bCs/>
        </w:rPr>
        <w:t>ával</w:t>
      </w:r>
      <w:proofErr w:type="spellEnd"/>
      <w:r>
        <w:rPr>
          <w:bCs/>
        </w:rPr>
        <w:t xml:space="preserve"> megállapított 4. § (6) bekezdését elsőként a 2019. évre vonatkozó telekadó megállapítása során kell alkalmazni.”</w:t>
      </w:r>
    </w:p>
    <w:p w:rsidR="000F39A5" w:rsidRPr="006D17F7" w:rsidRDefault="000F39A5" w:rsidP="000F39A5">
      <w:pPr>
        <w:jc w:val="both"/>
      </w:pPr>
    </w:p>
    <w:p w:rsidR="000F39A5" w:rsidRDefault="000F39A5" w:rsidP="000F39A5">
      <w:pPr>
        <w:jc w:val="both"/>
        <w:rPr>
          <w:rStyle w:val="Kiemels2"/>
          <w:b w:val="0"/>
        </w:rPr>
      </w:pPr>
    </w:p>
    <w:p w:rsidR="000F39A5" w:rsidRDefault="000F39A5" w:rsidP="000F39A5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4. §  Ez a rendelet a kihirdetést követő napon lép hatályba.</w:t>
      </w:r>
    </w:p>
    <w:p w:rsidR="000F39A5" w:rsidRDefault="000F39A5" w:rsidP="000F39A5">
      <w:pPr>
        <w:pStyle w:val="Szvegtrzs"/>
      </w:pPr>
    </w:p>
    <w:p w:rsidR="000F39A5" w:rsidRDefault="000F39A5" w:rsidP="000F39A5">
      <w:pPr>
        <w:jc w:val="both"/>
      </w:pPr>
      <w:r>
        <w:t xml:space="preserve"> </w:t>
      </w:r>
    </w:p>
    <w:p w:rsidR="000F39A5" w:rsidRDefault="000F39A5" w:rsidP="000F39A5">
      <w:pPr>
        <w:jc w:val="both"/>
      </w:pPr>
    </w:p>
    <w:p w:rsidR="000F39A5" w:rsidRDefault="000F39A5" w:rsidP="000F39A5">
      <w:pPr>
        <w:ind w:firstLine="708"/>
        <w:jc w:val="both"/>
      </w:pPr>
      <w:r>
        <w:t>Györffy Szabolcs Zoltán</w:t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:rsidR="000F39A5" w:rsidRDefault="000F39A5" w:rsidP="000F39A5">
      <w:pPr>
        <w:ind w:firstLine="708"/>
        <w:jc w:val="both"/>
      </w:pPr>
      <w:r>
        <w:t xml:space="preserve">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 </w:t>
      </w:r>
    </w:p>
    <w:p w:rsidR="000F39A5" w:rsidRDefault="000F39A5" w:rsidP="000F39A5">
      <w:pPr>
        <w:jc w:val="both"/>
      </w:pPr>
    </w:p>
    <w:p w:rsidR="000F39A5" w:rsidRDefault="000F39A5" w:rsidP="000F39A5">
      <w:pPr>
        <w:jc w:val="both"/>
      </w:pPr>
    </w:p>
    <w:p w:rsidR="000F39A5" w:rsidRDefault="000F39A5" w:rsidP="000F39A5">
      <w:pPr>
        <w:jc w:val="both"/>
      </w:pPr>
    </w:p>
    <w:p w:rsidR="003C1B16" w:rsidRDefault="003C1B16" w:rsidP="000F39A5">
      <w:pPr>
        <w:jc w:val="both"/>
      </w:pPr>
    </w:p>
    <w:p w:rsidR="000F39A5" w:rsidRDefault="000F39A5" w:rsidP="000F39A5">
      <w:pPr>
        <w:jc w:val="both"/>
      </w:pPr>
      <w:r>
        <w:t xml:space="preserve">A kihirdetés napja: 2019. ………………… </w:t>
      </w:r>
    </w:p>
    <w:p w:rsidR="000F39A5" w:rsidRDefault="000F39A5" w:rsidP="000F39A5">
      <w:pPr>
        <w:jc w:val="both"/>
      </w:pPr>
    </w:p>
    <w:p w:rsidR="000F39A5" w:rsidRDefault="000F39A5" w:rsidP="000F39A5">
      <w:pPr>
        <w:jc w:val="both"/>
      </w:pPr>
    </w:p>
    <w:p w:rsidR="000F39A5" w:rsidRDefault="000F39A5" w:rsidP="000F39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C1B16">
        <w:t xml:space="preserve">  </w:t>
      </w:r>
      <w:r>
        <w:t xml:space="preserve"> dr. Szabó Tímea</w:t>
      </w:r>
    </w:p>
    <w:p w:rsidR="003C1B16" w:rsidRDefault="003C1B16" w:rsidP="000F39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0F39A5" w:rsidRDefault="000F39A5" w:rsidP="00582907">
      <w:pPr>
        <w:jc w:val="both"/>
      </w:pPr>
    </w:p>
    <w:p w:rsidR="000F39A5" w:rsidRDefault="000F39A5" w:rsidP="00582907">
      <w:pPr>
        <w:jc w:val="both"/>
      </w:pPr>
    </w:p>
    <w:sectPr w:rsidR="000F39A5" w:rsidSect="004919A7">
      <w:footerReference w:type="default" r:id="rId9"/>
      <w:pgSz w:w="11906" w:h="16838"/>
      <w:pgMar w:top="851" w:right="99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39" w:rsidRDefault="00817539">
      <w:r>
        <w:separator/>
      </w:r>
    </w:p>
  </w:endnote>
  <w:endnote w:type="continuationSeparator" w:id="0">
    <w:p w:rsidR="00817539" w:rsidRDefault="0081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1D" w:rsidRDefault="003C141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A65C8">
      <w:rPr>
        <w:noProof/>
      </w:rPr>
      <w:t>1</w:t>
    </w:r>
    <w:r>
      <w:fldChar w:fldCharType="end"/>
    </w:r>
  </w:p>
  <w:p w:rsidR="003C141D" w:rsidRDefault="003C14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39" w:rsidRDefault="00817539">
      <w:r>
        <w:separator/>
      </w:r>
    </w:p>
  </w:footnote>
  <w:footnote w:type="continuationSeparator" w:id="0">
    <w:p w:rsidR="00817539" w:rsidRDefault="0081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864"/>
    <w:multiLevelType w:val="hybridMultilevel"/>
    <w:tmpl w:val="60FCFFA0"/>
    <w:lvl w:ilvl="0" w:tplc="B9A2F1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FB7A5A"/>
    <w:multiLevelType w:val="hybridMultilevel"/>
    <w:tmpl w:val="505A25F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0C92"/>
    <w:multiLevelType w:val="multilevel"/>
    <w:tmpl w:val="3C3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547"/>
    <w:multiLevelType w:val="multilevel"/>
    <w:tmpl w:val="E11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16027"/>
    <w:multiLevelType w:val="multilevel"/>
    <w:tmpl w:val="416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CF4"/>
    <w:multiLevelType w:val="hybridMultilevel"/>
    <w:tmpl w:val="A7643748"/>
    <w:lvl w:ilvl="0" w:tplc="D2B4C2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670C"/>
    <w:multiLevelType w:val="hybridMultilevel"/>
    <w:tmpl w:val="788AC1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1279A"/>
    <w:multiLevelType w:val="hybridMultilevel"/>
    <w:tmpl w:val="D916D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1AA4"/>
    <w:multiLevelType w:val="hybridMultilevel"/>
    <w:tmpl w:val="3B00FE3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C315B"/>
    <w:multiLevelType w:val="hybridMultilevel"/>
    <w:tmpl w:val="5A283D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01A6"/>
    <w:multiLevelType w:val="hybridMultilevel"/>
    <w:tmpl w:val="B3C2A484"/>
    <w:lvl w:ilvl="0" w:tplc="040E000B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30196C57"/>
    <w:multiLevelType w:val="hybridMultilevel"/>
    <w:tmpl w:val="3B5C981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183F"/>
    <w:multiLevelType w:val="hybridMultilevel"/>
    <w:tmpl w:val="BD5E59D4"/>
    <w:lvl w:ilvl="0" w:tplc="43184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C6E9C"/>
    <w:multiLevelType w:val="multilevel"/>
    <w:tmpl w:val="2D94F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447F8"/>
    <w:multiLevelType w:val="hybridMultilevel"/>
    <w:tmpl w:val="50145F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34F9B"/>
    <w:multiLevelType w:val="hybridMultilevel"/>
    <w:tmpl w:val="41AE0C3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445B3"/>
    <w:multiLevelType w:val="hybridMultilevel"/>
    <w:tmpl w:val="5A04C3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05A6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29C1FB1"/>
    <w:multiLevelType w:val="hybridMultilevel"/>
    <w:tmpl w:val="3A5895A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D029AD"/>
    <w:multiLevelType w:val="multilevel"/>
    <w:tmpl w:val="26F6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3244A"/>
    <w:multiLevelType w:val="hybridMultilevel"/>
    <w:tmpl w:val="6550436C"/>
    <w:lvl w:ilvl="0" w:tplc="10B40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7649A"/>
    <w:multiLevelType w:val="hybridMultilevel"/>
    <w:tmpl w:val="43F0CB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9432A"/>
    <w:multiLevelType w:val="hybridMultilevel"/>
    <w:tmpl w:val="C9C8719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86269"/>
    <w:multiLevelType w:val="multilevel"/>
    <w:tmpl w:val="5156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F7EBB"/>
    <w:multiLevelType w:val="hybridMultilevel"/>
    <w:tmpl w:val="2304C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E3226"/>
    <w:multiLevelType w:val="hybridMultilevel"/>
    <w:tmpl w:val="3C341AAA"/>
    <w:lvl w:ilvl="0" w:tplc="10B40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229C6"/>
    <w:multiLevelType w:val="hybridMultilevel"/>
    <w:tmpl w:val="B0B6C2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471D2"/>
    <w:multiLevelType w:val="multilevel"/>
    <w:tmpl w:val="B53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D7DDB"/>
    <w:multiLevelType w:val="hybridMultilevel"/>
    <w:tmpl w:val="135068EE"/>
    <w:lvl w:ilvl="0" w:tplc="040E000B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5B7C60D5"/>
    <w:multiLevelType w:val="multilevel"/>
    <w:tmpl w:val="416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F50B0"/>
    <w:multiLevelType w:val="hybridMultilevel"/>
    <w:tmpl w:val="AB64ACC0"/>
    <w:lvl w:ilvl="0" w:tplc="040E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B3BF6"/>
    <w:multiLevelType w:val="multilevel"/>
    <w:tmpl w:val="3C4E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5F189E"/>
    <w:multiLevelType w:val="hybridMultilevel"/>
    <w:tmpl w:val="2D94F6CE"/>
    <w:lvl w:ilvl="0" w:tplc="E932C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C11CA"/>
    <w:multiLevelType w:val="multilevel"/>
    <w:tmpl w:val="2A2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7A574B"/>
    <w:multiLevelType w:val="hybridMultilevel"/>
    <w:tmpl w:val="E1AC14A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52519"/>
    <w:multiLevelType w:val="hybridMultilevel"/>
    <w:tmpl w:val="E814FA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36D69"/>
    <w:multiLevelType w:val="multilevel"/>
    <w:tmpl w:val="416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556F74"/>
    <w:multiLevelType w:val="hybridMultilevel"/>
    <w:tmpl w:val="770CA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97D79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6ED37D5"/>
    <w:multiLevelType w:val="hybridMultilevel"/>
    <w:tmpl w:val="104448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0E18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F05B3"/>
    <w:multiLevelType w:val="hybridMultilevel"/>
    <w:tmpl w:val="1B9A6A40"/>
    <w:lvl w:ilvl="0" w:tplc="F89AC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05F81"/>
    <w:multiLevelType w:val="multilevel"/>
    <w:tmpl w:val="699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270199"/>
    <w:multiLevelType w:val="hybridMultilevel"/>
    <w:tmpl w:val="08D070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5"/>
  </w:num>
  <w:num w:numId="4">
    <w:abstractNumId w:val="36"/>
  </w:num>
  <w:num w:numId="5">
    <w:abstractNumId w:val="19"/>
  </w:num>
  <w:num w:numId="6">
    <w:abstractNumId w:val="31"/>
  </w:num>
  <w:num w:numId="7">
    <w:abstractNumId w:val="23"/>
  </w:num>
  <w:num w:numId="8">
    <w:abstractNumId w:val="27"/>
  </w:num>
  <w:num w:numId="9">
    <w:abstractNumId w:val="20"/>
  </w:num>
  <w:num w:numId="10">
    <w:abstractNumId w:val="33"/>
  </w:num>
  <w:num w:numId="11">
    <w:abstractNumId w:val="41"/>
  </w:num>
  <w:num w:numId="12">
    <w:abstractNumId w:val="3"/>
  </w:num>
  <w:num w:numId="13">
    <w:abstractNumId w:val="25"/>
  </w:num>
  <w:num w:numId="14">
    <w:abstractNumId w:val="29"/>
  </w:num>
  <w:num w:numId="15">
    <w:abstractNumId w:val="4"/>
  </w:num>
  <w:num w:numId="16">
    <w:abstractNumId w:val="2"/>
  </w:num>
  <w:num w:numId="17">
    <w:abstractNumId w:val="32"/>
  </w:num>
  <w:num w:numId="18">
    <w:abstractNumId w:val="13"/>
  </w:num>
  <w:num w:numId="19">
    <w:abstractNumId w:val="39"/>
  </w:num>
  <w:num w:numId="20">
    <w:abstractNumId w:val="30"/>
  </w:num>
  <w:num w:numId="21">
    <w:abstractNumId w:val="21"/>
  </w:num>
  <w:num w:numId="22">
    <w:abstractNumId w:val="40"/>
  </w:num>
  <w:num w:numId="23">
    <w:abstractNumId w:val="16"/>
  </w:num>
  <w:num w:numId="24">
    <w:abstractNumId w:val="24"/>
  </w:num>
  <w:num w:numId="25">
    <w:abstractNumId w:val="9"/>
  </w:num>
  <w:num w:numId="26">
    <w:abstractNumId w:val="26"/>
  </w:num>
  <w:num w:numId="27">
    <w:abstractNumId w:val="0"/>
  </w:num>
  <w:num w:numId="28">
    <w:abstractNumId w:val="42"/>
  </w:num>
  <w:num w:numId="29">
    <w:abstractNumId w:val="28"/>
  </w:num>
  <w:num w:numId="30">
    <w:abstractNumId w:val="10"/>
  </w:num>
  <w:num w:numId="31">
    <w:abstractNumId w:val="15"/>
  </w:num>
  <w:num w:numId="32">
    <w:abstractNumId w:val="12"/>
  </w:num>
  <w:num w:numId="33">
    <w:abstractNumId w:val="22"/>
  </w:num>
  <w:num w:numId="34">
    <w:abstractNumId w:val="14"/>
  </w:num>
  <w:num w:numId="35">
    <w:abstractNumId w:val="18"/>
  </w:num>
  <w:num w:numId="36">
    <w:abstractNumId w:val="6"/>
  </w:num>
  <w:num w:numId="37">
    <w:abstractNumId w:val="8"/>
  </w:num>
  <w:num w:numId="38">
    <w:abstractNumId w:val="34"/>
  </w:num>
  <w:num w:numId="39">
    <w:abstractNumId w:val="5"/>
  </w:num>
  <w:num w:numId="40">
    <w:abstractNumId w:val="37"/>
  </w:num>
  <w:num w:numId="41">
    <w:abstractNumId w:val="11"/>
  </w:num>
  <w:num w:numId="42">
    <w:abstractNumId w:val="1"/>
  </w:num>
  <w:num w:numId="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B"/>
    <w:rsid w:val="00000D10"/>
    <w:rsid w:val="00017440"/>
    <w:rsid w:val="0001745B"/>
    <w:rsid w:val="00035582"/>
    <w:rsid w:val="00055F8C"/>
    <w:rsid w:val="00056026"/>
    <w:rsid w:val="000601BD"/>
    <w:rsid w:val="000A65C8"/>
    <w:rsid w:val="000B734B"/>
    <w:rsid w:val="000C12E8"/>
    <w:rsid w:val="000C137C"/>
    <w:rsid w:val="000D358A"/>
    <w:rsid w:val="000E1ACD"/>
    <w:rsid w:val="000E2BC9"/>
    <w:rsid w:val="000E5E4D"/>
    <w:rsid w:val="000F3413"/>
    <w:rsid w:val="000F39A5"/>
    <w:rsid w:val="00104E2F"/>
    <w:rsid w:val="00112334"/>
    <w:rsid w:val="00115154"/>
    <w:rsid w:val="00131E4D"/>
    <w:rsid w:val="001407A6"/>
    <w:rsid w:val="00157710"/>
    <w:rsid w:val="00163410"/>
    <w:rsid w:val="00164765"/>
    <w:rsid w:val="001653B1"/>
    <w:rsid w:val="00170756"/>
    <w:rsid w:val="00173B7E"/>
    <w:rsid w:val="00176B5B"/>
    <w:rsid w:val="0018246D"/>
    <w:rsid w:val="00187FC9"/>
    <w:rsid w:val="00190455"/>
    <w:rsid w:val="0019222C"/>
    <w:rsid w:val="001928EB"/>
    <w:rsid w:val="001B176A"/>
    <w:rsid w:val="001B3702"/>
    <w:rsid w:val="001B386A"/>
    <w:rsid w:val="001D06BE"/>
    <w:rsid w:val="001D3A13"/>
    <w:rsid w:val="001E4B7C"/>
    <w:rsid w:val="001E53B2"/>
    <w:rsid w:val="0020647D"/>
    <w:rsid w:val="00215B67"/>
    <w:rsid w:val="00215F39"/>
    <w:rsid w:val="002307B8"/>
    <w:rsid w:val="00240503"/>
    <w:rsid w:val="00241AA3"/>
    <w:rsid w:val="00252BE2"/>
    <w:rsid w:val="002A0626"/>
    <w:rsid w:val="002A6A9A"/>
    <w:rsid w:val="002A763D"/>
    <w:rsid w:val="002B3CA7"/>
    <w:rsid w:val="002B5CA0"/>
    <w:rsid w:val="002C556F"/>
    <w:rsid w:val="002E03FB"/>
    <w:rsid w:val="002E4686"/>
    <w:rsid w:val="002F75ED"/>
    <w:rsid w:val="00303826"/>
    <w:rsid w:val="00311C7B"/>
    <w:rsid w:val="00311EB7"/>
    <w:rsid w:val="003170F7"/>
    <w:rsid w:val="00346602"/>
    <w:rsid w:val="00355DF7"/>
    <w:rsid w:val="00375ED1"/>
    <w:rsid w:val="003837D2"/>
    <w:rsid w:val="003909CF"/>
    <w:rsid w:val="00396961"/>
    <w:rsid w:val="003C1009"/>
    <w:rsid w:val="003C141D"/>
    <w:rsid w:val="003C1B16"/>
    <w:rsid w:val="003C7009"/>
    <w:rsid w:val="003D153B"/>
    <w:rsid w:val="003E2CCD"/>
    <w:rsid w:val="003E7040"/>
    <w:rsid w:val="003F0BCD"/>
    <w:rsid w:val="003F59A0"/>
    <w:rsid w:val="003F7E65"/>
    <w:rsid w:val="004124B1"/>
    <w:rsid w:val="0041301B"/>
    <w:rsid w:val="004151D0"/>
    <w:rsid w:val="00453C86"/>
    <w:rsid w:val="004550C4"/>
    <w:rsid w:val="00456B23"/>
    <w:rsid w:val="00477252"/>
    <w:rsid w:val="00485924"/>
    <w:rsid w:val="004917F7"/>
    <w:rsid w:val="004919A7"/>
    <w:rsid w:val="004A7622"/>
    <w:rsid w:val="004E61F4"/>
    <w:rsid w:val="004F2EBB"/>
    <w:rsid w:val="0051468C"/>
    <w:rsid w:val="00520446"/>
    <w:rsid w:val="00523395"/>
    <w:rsid w:val="00542C2E"/>
    <w:rsid w:val="00545282"/>
    <w:rsid w:val="0054619D"/>
    <w:rsid w:val="00550557"/>
    <w:rsid w:val="00554865"/>
    <w:rsid w:val="00562CFD"/>
    <w:rsid w:val="005670D5"/>
    <w:rsid w:val="00581091"/>
    <w:rsid w:val="0058275F"/>
    <w:rsid w:val="00582907"/>
    <w:rsid w:val="005870F8"/>
    <w:rsid w:val="0059452A"/>
    <w:rsid w:val="00594D85"/>
    <w:rsid w:val="005C17B3"/>
    <w:rsid w:val="005D4ED2"/>
    <w:rsid w:val="005E16AA"/>
    <w:rsid w:val="005E7851"/>
    <w:rsid w:val="005F15F4"/>
    <w:rsid w:val="005F4941"/>
    <w:rsid w:val="0061791D"/>
    <w:rsid w:val="00622E95"/>
    <w:rsid w:val="006272CB"/>
    <w:rsid w:val="00627AE3"/>
    <w:rsid w:val="00627B5A"/>
    <w:rsid w:val="006438D8"/>
    <w:rsid w:val="00647C6F"/>
    <w:rsid w:val="00651906"/>
    <w:rsid w:val="006653ED"/>
    <w:rsid w:val="00667C2B"/>
    <w:rsid w:val="00671526"/>
    <w:rsid w:val="00671740"/>
    <w:rsid w:val="006836BA"/>
    <w:rsid w:val="006B2127"/>
    <w:rsid w:val="006B3680"/>
    <w:rsid w:val="006B5ED8"/>
    <w:rsid w:val="006B7CC7"/>
    <w:rsid w:val="006C1B1C"/>
    <w:rsid w:val="006C36A9"/>
    <w:rsid w:val="006D3C19"/>
    <w:rsid w:val="006E6192"/>
    <w:rsid w:val="006F45A1"/>
    <w:rsid w:val="007330D7"/>
    <w:rsid w:val="00733588"/>
    <w:rsid w:val="007414DE"/>
    <w:rsid w:val="00747C2A"/>
    <w:rsid w:val="00754D26"/>
    <w:rsid w:val="00766CBD"/>
    <w:rsid w:val="007722B3"/>
    <w:rsid w:val="007962F0"/>
    <w:rsid w:val="007A094C"/>
    <w:rsid w:val="007A187B"/>
    <w:rsid w:val="007A574C"/>
    <w:rsid w:val="007B681B"/>
    <w:rsid w:val="007C2404"/>
    <w:rsid w:val="007C6DC7"/>
    <w:rsid w:val="007D2367"/>
    <w:rsid w:val="007E6FF6"/>
    <w:rsid w:val="00812EFF"/>
    <w:rsid w:val="00814667"/>
    <w:rsid w:val="00817539"/>
    <w:rsid w:val="00817AA3"/>
    <w:rsid w:val="008339BB"/>
    <w:rsid w:val="00846689"/>
    <w:rsid w:val="0085369C"/>
    <w:rsid w:val="00867CE9"/>
    <w:rsid w:val="00887D96"/>
    <w:rsid w:val="008A14E7"/>
    <w:rsid w:val="008C55F9"/>
    <w:rsid w:val="008D0D49"/>
    <w:rsid w:val="008D461A"/>
    <w:rsid w:val="008D4691"/>
    <w:rsid w:val="008D6D50"/>
    <w:rsid w:val="008F1E18"/>
    <w:rsid w:val="008F25FE"/>
    <w:rsid w:val="00904415"/>
    <w:rsid w:val="00923E06"/>
    <w:rsid w:val="0093470D"/>
    <w:rsid w:val="0095252F"/>
    <w:rsid w:val="00965AEC"/>
    <w:rsid w:val="00996900"/>
    <w:rsid w:val="00997085"/>
    <w:rsid w:val="009A35E4"/>
    <w:rsid w:val="009A58EE"/>
    <w:rsid w:val="009E0700"/>
    <w:rsid w:val="009F2703"/>
    <w:rsid w:val="009F6B91"/>
    <w:rsid w:val="00A16AEF"/>
    <w:rsid w:val="00A17CF8"/>
    <w:rsid w:val="00A17ECF"/>
    <w:rsid w:val="00A46A00"/>
    <w:rsid w:val="00A51508"/>
    <w:rsid w:val="00A52CBB"/>
    <w:rsid w:val="00A6282C"/>
    <w:rsid w:val="00A91BA8"/>
    <w:rsid w:val="00A93EDD"/>
    <w:rsid w:val="00A9751C"/>
    <w:rsid w:val="00AA52E4"/>
    <w:rsid w:val="00AB0AAA"/>
    <w:rsid w:val="00AB1DFA"/>
    <w:rsid w:val="00AB4673"/>
    <w:rsid w:val="00AB646D"/>
    <w:rsid w:val="00AD21BD"/>
    <w:rsid w:val="00AD4750"/>
    <w:rsid w:val="00AF18BE"/>
    <w:rsid w:val="00AF67E3"/>
    <w:rsid w:val="00AF687B"/>
    <w:rsid w:val="00AF79D2"/>
    <w:rsid w:val="00AF7F12"/>
    <w:rsid w:val="00B03EB2"/>
    <w:rsid w:val="00B05A3A"/>
    <w:rsid w:val="00B31C2E"/>
    <w:rsid w:val="00B35433"/>
    <w:rsid w:val="00B41AED"/>
    <w:rsid w:val="00B4656F"/>
    <w:rsid w:val="00B470FB"/>
    <w:rsid w:val="00B5662D"/>
    <w:rsid w:val="00BA1337"/>
    <w:rsid w:val="00BC4B1F"/>
    <w:rsid w:val="00BD412A"/>
    <w:rsid w:val="00BD5AD3"/>
    <w:rsid w:val="00BD62E3"/>
    <w:rsid w:val="00BE19CC"/>
    <w:rsid w:val="00BE34CA"/>
    <w:rsid w:val="00BE3743"/>
    <w:rsid w:val="00BF778A"/>
    <w:rsid w:val="00C222A7"/>
    <w:rsid w:val="00C23213"/>
    <w:rsid w:val="00C244E5"/>
    <w:rsid w:val="00C2741E"/>
    <w:rsid w:val="00C43126"/>
    <w:rsid w:val="00C431D2"/>
    <w:rsid w:val="00C44DB6"/>
    <w:rsid w:val="00C628B3"/>
    <w:rsid w:val="00C62E84"/>
    <w:rsid w:val="00C66EDA"/>
    <w:rsid w:val="00C84AA1"/>
    <w:rsid w:val="00CA4492"/>
    <w:rsid w:val="00CC1E43"/>
    <w:rsid w:val="00CC5966"/>
    <w:rsid w:val="00CC672C"/>
    <w:rsid w:val="00CE2E32"/>
    <w:rsid w:val="00CE6EF9"/>
    <w:rsid w:val="00CF4057"/>
    <w:rsid w:val="00CF5308"/>
    <w:rsid w:val="00D1227D"/>
    <w:rsid w:val="00D53F53"/>
    <w:rsid w:val="00D62406"/>
    <w:rsid w:val="00D655CD"/>
    <w:rsid w:val="00D737C0"/>
    <w:rsid w:val="00D74E4D"/>
    <w:rsid w:val="00D83F49"/>
    <w:rsid w:val="00D85852"/>
    <w:rsid w:val="00DD6C72"/>
    <w:rsid w:val="00DD7648"/>
    <w:rsid w:val="00DE605F"/>
    <w:rsid w:val="00DF59AF"/>
    <w:rsid w:val="00E0496E"/>
    <w:rsid w:val="00E0672C"/>
    <w:rsid w:val="00E10A19"/>
    <w:rsid w:val="00E1376C"/>
    <w:rsid w:val="00E236B7"/>
    <w:rsid w:val="00E237D0"/>
    <w:rsid w:val="00E25958"/>
    <w:rsid w:val="00E4258B"/>
    <w:rsid w:val="00E51FBD"/>
    <w:rsid w:val="00E63325"/>
    <w:rsid w:val="00E67A9B"/>
    <w:rsid w:val="00E815A3"/>
    <w:rsid w:val="00E91D86"/>
    <w:rsid w:val="00E97DEE"/>
    <w:rsid w:val="00EA1575"/>
    <w:rsid w:val="00EA2747"/>
    <w:rsid w:val="00EB406A"/>
    <w:rsid w:val="00EB4165"/>
    <w:rsid w:val="00EE4D73"/>
    <w:rsid w:val="00F25A29"/>
    <w:rsid w:val="00F37DC4"/>
    <w:rsid w:val="00F571D4"/>
    <w:rsid w:val="00F7321B"/>
    <w:rsid w:val="00F91DAD"/>
    <w:rsid w:val="00FA39F8"/>
    <w:rsid w:val="00FB43C9"/>
    <w:rsid w:val="00FB6F0C"/>
    <w:rsid w:val="00FC6C2B"/>
    <w:rsid w:val="00FC7FC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53C16C-2BAF-42AC-91C1-0ADB0F3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750"/>
    <w:rPr>
      <w:sz w:val="24"/>
      <w:szCs w:val="24"/>
    </w:rPr>
  </w:style>
  <w:style w:type="paragraph" w:styleId="Cmsor1">
    <w:name w:val="heading 1"/>
    <w:basedOn w:val="Norml"/>
    <w:next w:val="Norml"/>
    <w:qFormat/>
    <w:rsid w:val="00EB4165"/>
    <w:pPr>
      <w:keepNext/>
      <w:jc w:val="center"/>
      <w:outlineLvl w:val="0"/>
    </w:pPr>
    <w:rPr>
      <w:b/>
      <w:bCs/>
    </w:rPr>
  </w:style>
  <w:style w:type="paragraph" w:styleId="Cmsor7">
    <w:name w:val="heading 7"/>
    <w:basedOn w:val="Norml"/>
    <w:next w:val="Norml"/>
    <w:qFormat/>
    <w:rsid w:val="008F1E18"/>
    <w:pPr>
      <w:spacing w:before="240" w:after="60"/>
      <w:outlineLvl w:val="6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rtkcm">
    <w:name w:val="Boríték cím"/>
    <w:basedOn w:val="Norml"/>
    <w:autoRedefine/>
    <w:rsid w:val="00A52CBB"/>
    <w:rPr>
      <w:rFonts w:ascii="Georgia" w:hAnsi="Georgia" w:cs="Microsoft Sans Serif"/>
    </w:rPr>
  </w:style>
  <w:style w:type="numbering" w:styleId="111111">
    <w:name w:val="Outline List 2"/>
    <w:basedOn w:val="Nemlista"/>
    <w:rsid w:val="00215B67"/>
    <w:pPr>
      <w:numPr>
        <w:numId w:val="2"/>
      </w:numPr>
    </w:pPr>
  </w:style>
  <w:style w:type="table" w:styleId="Rcsostblzat">
    <w:name w:val="Table Grid"/>
    <w:basedOn w:val="Normltblzat"/>
    <w:rsid w:val="00AD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,Char1"/>
    <w:basedOn w:val="Norml"/>
    <w:link w:val="LbjegyzetszvegChar"/>
    <w:rsid w:val="00AD4750"/>
    <w:rPr>
      <w:sz w:val="20"/>
      <w:szCs w:val="20"/>
    </w:rPr>
  </w:style>
  <w:style w:type="character" w:styleId="Lbjegyzet-hivatkozs">
    <w:name w:val="footnote reference"/>
    <w:aliases w:val="Footnote symbol"/>
    <w:uiPriority w:val="99"/>
    <w:rsid w:val="00AD4750"/>
    <w:rPr>
      <w:vertAlign w:val="superscript"/>
    </w:rPr>
  </w:style>
  <w:style w:type="character" w:styleId="Kiemels2">
    <w:name w:val="Strong"/>
    <w:qFormat/>
    <w:rsid w:val="00164765"/>
    <w:rPr>
      <w:b/>
      <w:bCs/>
    </w:rPr>
  </w:style>
  <w:style w:type="paragraph" w:styleId="Szvegtrzs">
    <w:name w:val="Body Text"/>
    <w:basedOn w:val="Norml"/>
    <w:rsid w:val="00FE3544"/>
    <w:pPr>
      <w:jc w:val="both"/>
    </w:pPr>
  </w:style>
  <w:style w:type="character" w:customStyle="1" w:styleId="point">
    <w:name w:val="point"/>
    <w:basedOn w:val="Bekezdsalapbettpusa"/>
    <w:rsid w:val="00545282"/>
  </w:style>
  <w:style w:type="character" w:styleId="Hiperhivatkozs">
    <w:name w:val="Hyperlink"/>
    <w:uiPriority w:val="99"/>
    <w:rsid w:val="00545282"/>
    <w:rPr>
      <w:color w:val="0000FF"/>
      <w:u w:val="single"/>
    </w:rPr>
  </w:style>
  <w:style w:type="paragraph" w:styleId="lfej">
    <w:name w:val="header"/>
    <w:basedOn w:val="Norml"/>
    <w:rsid w:val="00EB416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B4165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EB4165"/>
    <w:rPr>
      <w:sz w:val="16"/>
      <w:szCs w:val="16"/>
    </w:rPr>
  </w:style>
  <w:style w:type="paragraph" w:styleId="Jegyzetszveg">
    <w:name w:val="annotation text"/>
    <w:basedOn w:val="Norml"/>
    <w:semiHidden/>
    <w:rsid w:val="00EB416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B4165"/>
    <w:rPr>
      <w:b/>
      <w:bCs/>
    </w:rPr>
  </w:style>
  <w:style w:type="paragraph" w:styleId="Buborkszveg">
    <w:name w:val="Balloon Text"/>
    <w:basedOn w:val="Norml"/>
    <w:semiHidden/>
    <w:rsid w:val="00EB416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FB6F0C"/>
    <w:rPr>
      <w:rFonts w:ascii="Verdana" w:hAnsi="Verdana"/>
      <w:sz w:val="18"/>
      <w:szCs w:val="18"/>
    </w:rPr>
  </w:style>
  <w:style w:type="paragraph" w:styleId="Szvegtrzs3">
    <w:name w:val="Body Text 3"/>
    <w:basedOn w:val="Norml"/>
    <w:rsid w:val="001B176A"/>
    <w:pPr>
      <w:spacing w:after="120"/>
    </w:pPr>
    <w:rPr>
      <w:sz w:val="16"/>
      <w:szCs w:val="16"/>
    </w:rPr>
  </w:style>
  <w:style w:type="paragraph" w:customStyle="1" w:styleId="FCm">
    <w:name w:val="FôCím"/>
    <w:basedOn w:val="Norml"/>
    <w:rsid w:val="001B176A"/>
    <w:pPr>
      <w:keepNext/>
      <w:jc w:val="center"/>
    </w:pPr>
    <w:rPr>
      <w:b/>
      <w:szCs w:val="20"/>
    </w:rPr>
  </w:style>
  <w:style w:type="paragraph" w:styleId="Szvegtrzs2">
    <w:name w:val="Body Text 2"/>
    <w:basedOn w:val="Norml"/>
    <w:rsid w:val="00F91DAD"/>
    <w:pPr>
      <w:spacing w:after="120" w:line="480" w:lineRule="auto"/>
    </w:pPr>
  </w:style>
  <w:style w:type="paragraph" w:styleId="Szvegtrzsbehzssal3">
    <w:name w:val="Body Text Indent 3"/>
    <w:basedOn w:val="Norml"/>
    <w:rsid w:val="00904415"/>
    <w:pPr>
      <w:spacing w:after="120"/>
      <w:ind w:left="283"/>
    </w:pPr>
    <w:rPr>
      <w:sz w:val="16"/>
      <w:szCs w:val="16"/>
    </w:rPr>
  </w:style>
  <w:style w:type="paragraph" w:customStyle="1" w:styleId="CharCharChar1CharCharCharCharCharChar">
    <w:name w:val=" Char Char Char1 Char Char Char Char Char Char"/>
    <w:basedOn w:val="Norml"/>
    <w:rsid w:val="00BA13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j">
    <w:name w:val="uj"/>
    <w:basedOn w:val="Norml"/>
    <w:rsid w:val="00D74E4D"/>
    <w:pPr>
      <w:spacing w:before="100" w:beforeAutospacing="1" w:after="100" w:afterAutospacing="1"/>
    </w:pPr>
  </w:style>
  <w:style w:type="paragraph" w:customStyle="1" w:styleId="cf0">
    <w:name w:val="cf0"/>
    <w:basedOn w:val="Norml"/>
    <w:rsid w:val="004550C4"/>
    <w:pPr>
      <w:spacing w:before="100" w:beforeAutospacing="1" w:after="100" w:afterAutospacing="1"/>
    </w:pPr>
  </w:style>
  <w:style w:type="character" w:customStyle="1" w:styleId="LbjegyzetszvegChar">
    <w:name w:val="Lábjegyzetszöveg Char"/>
    <w:aliases w:val="Footnote Char,Char1 Char"/>
    <w:link w:val="Lbjegyzetszveg"/>
    <w:rsid w:val="00115154"/>
  </w:style>
  <w:style w:type="paragraph" w:customStyle="1" w:styleId="Default">
    <w:name w:val="Default"/>
    <w:rsid w:val="007D23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lbChar">
    <w:name w:val="Élőláb Char"/>
    <w:link w:val="llb"/>
    <w:uiPriority w:val="99"/>
    <w:rsid w:val="003C14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DF72-C913-4868-B412-A2CBDD20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11179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Önkormányzat</Company>
  <LinksUpToDate>false</LinksUpToDate>
  <CharactersWithSpaces>12774</CharactersWithSpaces>
  <SharedDoc>false</SharedDoc>
  <HLinks>
    <vt:vector size="6" baseType="variant">
      <vt:variant>
        <vt:i4>4259906</vt:i4>
      </vt:variant>
      <vt:variant>
        <vt:i4>0</vt:i4>
      </vt:variant>
      <vt:variant>
        <vt:i4>0</vt:i4>
      </vt:variant>
      <vt:variant>
        <vt:i4>5</vt:i4>
      </vt:variant>
      <vt:variant>
        <vt:lpwstr>https://uj.jogtar.hu/</vt:lpwstr>
      </vt:variant>
      <vt:variant>
        <vt:lpwstr>lbj67id1509699292284eceb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Körjegyzőség Köveskál</dc:creator>
  <cp:keywords/>
  <dc:description/>
  <cp:lastModifiedBy>Andras</cp:lastModifiedBy>
  <cp:revision>2</cp:revision>
  <cp:lastPrinted>2019-11-15T13:15:00Z</cp:lastPrinted>
  <dcterms:created xsi:type="dcterms:W3CDTF">2019-11-18T13:11:00Z</dcterms:created>
  <dcterms:modified xsi:type="dcterms:W3CDTF">2019-11-18T13:11:00Z</dcterms:modified>
</cp:coreProperties>
</file>